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180" w:line="240" w:lineRule="auto"/>
        <w:jc w:val="left"/>
        <w:rPr>
          <w:rFonts w:ascii="Arial" w:hAnsi="Arial" w:cs="Arial"/>
          <w:b/>
          <w:bCs/>
          <w:lang w:val="en-US"/>
        </w:rPr>
      </w:pPr>
      <w:bookmarkStart w:id="0" w:name="OLE_LINK283"/>
      <w:r>
        <w:rPr>
          <w:rFonts w:ascii="Arial" w:hAnsi="Arial" w:cs="Arial"/>
          <w:b/>
          <w:bCs/>
          <w:lang w:val="en-US" w:eastAsia="en-US"/>
        </w:rPr>
        <w:t>3GPP TSG-RAN WG2 Meeting #1</w:t>
      </w:r>
      <w:r>
        <w:rPr>
          <w:rFonts w:hint="eastAsia" w:ascii="Arial" w:hAnsi="Arial" w:cs="Arial"/>
          <w:b/>
          <w:bCs/>
          <w:lang w:val="en-US"/>
        </w:rPr>
        <w:t xml:space="preserve">14 </w:t>
      </w:r>
      <w:r>
        <w:rPr>
          <w:rFonts w:ascii="Arial" w:hAnsi="Arial" w:cs="Arial"/>
          <w:b/>
          <w:bCs/>
          <w:lang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rPr>
        <w:t>R2-2105289</w:t>
      </w:r>
    </w:p>
    <w:bookmarkEnd w:id="0"/>
    <w:p>
      <w:pPr>
        <w:tabs>
          <w:tab w:val="left" w:pos="1979"/>
        </w:tabs>
        <w:spacing w:after="180" w:line="240" w:lineRule="auto"/>
        <w:jc w:val="left"/>
        <w:rPr>
          <w:rFonts w:ascii="Arial" w:hAnsi="Arial" w:cs="Arial"/>
          <w:b/>
          <w:bCs/>
          <w:lang w:val="en-US" w:eastAsia="en-US"/>
        </w:rPr>
      </w:pPr>
      <w:r>
        <w:rPr>
          <w:rFonts w:hint="eastAsia" w:ascii="Arial" w:hAnsi="Arial" w:cs="Arial"/>
          <w:b/>
          <w:bCs/>
          <w:lang w:val="en-US"/>
        </w:rPr>
        <w:t>Online</w:t>
      </w:r>
      <w:r>
        <w:rPr>
          <w:rFonts w:ascii="Arial" w:hAnsi="Arial" w:cs="Arial"/>
          <w:b/>
          <w:bCs/>
          <w:lang w:val="en-US" w:eastAsia="en-US"/>
        </w:rPr>
        <w:t xml:space="preserve">, </w:t>
      </w:r>
      <w:r>
        <w:rPr>
          <w:rFonts w:hint="eastAsia" w:ascii="Arial" w:hAnsi="Arial" w:cs="Arial"/>
          <w:b/>
          <w:bCs/>
          <w:lang w:val="en-US"/>
        </w:rPr>
        <w:t>19</w:t>
      </w:r>
      <w:r>
        <w:rPr>
          <w:rFonts w:ascii="Arial" w:hAnsi="Arial" w:cs="Arial"/>
          <w:b/>
          <w:bCs/>
          <w:lang w:val="en-US" w:eastAsia="en-US"/>
        </w:rPr>
        <w:t>th – 2</w:t>
      </w:r>
      <w:r>
        <w:rPr>
          <w:rFonts w:hint="eastAsia" w:ascii="Arial" w:hAnsi="Arial" w:cs="Arial"/>
          <w:b/>
          <w:bCs/>
          <w:lang w:val="en-US"/>
        </w:rPr>
        <w:t>7</w:t>
      </w:r>
      <w:r>
        <w:rPr>
          <w:rFonts w:ascii="Arial" w:hAnsi="Arial" w:cs="Arial"/>
          <w:b/>
          <w:bCs/>
          <w:lang w:val="en-US" w:eastAsia="en-US"/>
        </w:rPr>
        <w:t xml:space="preserve">th </w:t>
      </w:r>
      <w:r>
        <w:rPr>
          <w:rFonts w:hint="eastAsia" w:ascii="Arial" w:hAnsi="Arial" w:cs="Arial"/>
          <w:b/>
          <w:bCs/>
          <w:lang w:val="en-US"/>
        </w:rPr>
        <w:t>May</w:t>
      </w:r>
      <w:r>
        <w:rPr>
          <w:rFonts w:ascii="Arial" w:hAnsi="Arial" w:cs="Arial"/>
          <w:b/>
          <w:bCs/>
          <w:lang w:val="en-US" w:eastAsia="en-US"/>
        </w:rPr>
        <w:t>, 2021</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 xml:space="preserve"> </w:t>
      </w:r>
    </w:p>
    <w:p>
      <w:pPr>
        <w:tabs>
          <w:tab w:val="left" w:pos="1979"/>
        </w:tabs>
        <w:spacing w:after="0" w:line="240" w:lineRule="auto"/>
        <w:jc w:val="left"/>
        <w:rPr>
          <w:rFonts w:ascii="Arial" w:hAnsi="Arial" w:cs="Arial"/>
          <w:b/>
          <w:bCs/>
          <w:sz w:val="24"/>
          <w:lang w:val="en-US" w:eastAsia="en-US"/>
        </w:rPr>
      </w:pP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r>
      <w:r>
        <w:rPr>
          <w:rFonts w:ascii="Arial" w:hAnsi="Arial" w:cs="Arial"/>
          <w:b/>
          <w:bCs/>
          <w:lang w:val="en-US" w:eastAsia="en-US"/>
        </w:rPr>
        <w:t xml:space="preserve">vivo </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eastAsia="en-US"/>
        </w:rPr>
        <w:t>Discussion on propagation delay compensation</w:t>
      </w:r>
    </w:p>
    <w:p>
      <w:pPr>
        <w:tabs>
          <w:tab w:val="left" w:pos="1979"/>
        </w:tabs>
        <w:spacing w:after="180" w:line="240" w:lineRule="auto"/>
        <w:jc w:val="left"/>
        <w:rPr>
          <w:rFonts w:ascii="Arial" w:hAnsi="Arial" w:cs="Arial"/>
          <w:b/>
          <w:bCs/>
          <w:lang w:val="en-US"/>
        </w:rPr>
      </w:pPr>
      <w:r>
        <w:rPr>
          <w:rFonts w:ascii="Arial" w:hAnsi="Arial" w:cs="Arial"/>
          <w:b/>
          <w:bCs/>
          <w:lang w:val="en-US" w:eastAsia="en-US"/>
        </w:rPr>
        <w:t>Agenda Item:</w:t>
      </w:r>
      <w:r>
        <w:rPr>
          <w:rFonts w:ascii="Arial" w:hAnsi="Arial" w:cs="Arial"/>
          <w:b/>
          <w:bCs/>
          <w:lang w:val="en-US" w:eastAsia="en-US"/>
        </w:rPr>
        <w:tab/>
      </w:r>
      <w:r>
        <w:rPr>
          <w:rFonts w:hint="eastAsia" w:ascii="Arial" w:hAnsi="Arial" w:cs="Arial"/>
          <w:b/>
          <w:bCs/>
          <w:lang w:val="en-US"/>
        </w:rPr>
        <w:t>8</w:t>
      </w:r>
      <w:r>
        <w:rPr>
          <w:rFonts w:ascii="Arial" w:hAnsi="Arial" w:cs="Arial"/>
          <w:b/>
          <w:bCs/>
          <w:lang w:val="en-US" w:eastAsia="en-US"/>
        </w:rPr>
        <w:t>.</w:t>
      </w:r>
      <w:r>
        <w:rPr>
          <w:rFonts w:hint="eastAsia" w:ascii="Arial" w:hAnsi="Arial" w:cs="Arial"/>
          <w:b/>
          <w:bCs/>
          <w:lang w:val="en-US"/>
        </w:rPr>
        <w:t>5</w:t>
      </w:r>
      <w:r>
        <w:rPr>
          <w:rFonts w:ascii="Arial" w:hAnsi="Arial" w:cs="Arial"/>
          <w:b/>
          <w:bCs/>
          <w:lang w:val="en-US" w:eastAsia="en-US"/>
        </w:rPr>
        <w:t>.2</w:t>
      </w:r>
    </w:p>
    <w:p>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r>
      <w:r>
        <w:rPr>
          <w:rFonts w:ascii="Arial" w:hAnsi="Arial" w:cs="Arial"/>
          <w:b/>
          <w:bCs/>
          <w:lang w:val="en-US" w:eastAsia="en-US"/>
        </w:rPr>
        <w:t>Discussion and Decision</w:t>
      </w:r>
    </w:p>
    <w:p>
      <w:pPr>
        <w:pStyle w:val="2"/>
        <w:pBdr>
          <w:top w:val="single" w:color="auto" w:sz="12" w:space="1"/>
        </w:pBdr>
        <w:jc w:val="left"/>
      </w:pPr>
      <w:bookmarkStart w:id="1" w:name="_Ref165266342"/>
      <w:r>
        <w:t>Introduction</w:t>
      </w:r>
      <w:bookmarkEnd w:id="1"/>
    </w:p>
    <w:p>
      <w:r>
        <w:rPr>
          <w:rFonts w:hint="eastAsia"/>
          <w:lang w:val="en-US"/>
        </w:rPr>
        <w:t xml:space="preserve">Regarding to the propagation delay compensation (PDC), the following agreements </w:t>
      </w:r>
      <w:r>
        <w:rPr>
          <w:lang w:val="en-US"/>
        </w:rPr>
        <w:t>have</w:t>
      </w:r>
      <w:r>
        <w:rPr>
          <w:rFonts w:hint="eastAsia"/>
          <w:lang w:val="en-US"/>
        </w:rPr>
        <w:t xml:space="preserve"> been achieved in RAN1 and RAN2</w:t>
      </w:r>
      <w:r>
        <w:t>:</w:t>
      </w:r>
    </w:p>
    <w:p>
      <w:pPr>
        <w:rPr>
          <w:lang w:val="en-US"/>
        </w:rPr>
      </w:pPr>
      <w:r>
        <w:rPr>
          <w:rFonts w:hint="eastAsia"/>
          <w:b/>
          <w:bCs/>
          <w:u w:val="single"/>
          <w:lang w:val="en-US"/>
        </w:rPr>
        <w:t>RAN2#112 Agreement [1]</w:t>
      </w:r>
      <w:r>
        <w:rPr>
          <w:rFonts w:hint="eastAsia"/>
          <w:lang w:val="en-US"/>
        </w:rPr>
        <w:t>:</w:t>
      </w:r>
    </w:p>
    <w:p>
      <w:pPr>
        <w:numPr>
          <w:ilvl w:val="0"/>
          <w:numId w:val="7"/>
        </w:numPr>
      </w:pPr>
      <w:r>
        <w:t>It is up to RAN1 to decide which PDC options should be supported for Scenario 1, 2 and 3 in Release-17</w:t>
      </w:r>
      <w:r>
        <w:rPr>
          <w:rFonts w:hint="eastAsia"/>
          <w:lang w:val="en-US"/>
        </w:rPr>
        <w:t>.</w:t>
      </w:r>
    </w:p>
    <w:p>
      <w:pPr>
        <w:rPr>
          <w:lang w:val="en-US"/>
        </w:rPr>
      </w:pPr>
      <w:r>
        <w:rPr>
          <w:rFonts w:hint="eastAsia"/>
          <w:b/>
          <w:bCs/>
          <w:u w:val="single"/>
          <w:lang w:val="en-US"/>
        </w:rPr>
        <w:t>RAN2#113 Agreement [2]</w:t>
      </w:r>
      <w:r>
        <w:rPr>
          <w:rFonts w:hint="eastAsia"/>
          <w:lang w:val="en-US"/>
        </w:rPr>
        <w:t>:</w:t>
      </w:r>
    </w:p>
    <w:p>
      <w:pPr>
        <w:numPr>
          <w:ilvl w:val="0"/>
          <w:numId w:val="7"/>
        </w:numPr>
      </w:pPr>
      <w:r>
        <w:t>RAN2 to confirm which PDC option to choose is up-to RAN1 to decide</w:t>
      </w:r>
    </w:p>
    <w:p>
      <w:pPr>
        <w:rPr>
          <w:lang w:val="en-US"/>
        </w:rPr>
      </w:pPr>
      <w:r>
        <w:rPr>
          <w:rFonts w:hint="eastAsia"/>
          <w:b/>
          <w:bCs/>
          <w:u w:val="single"/>
          <w:lang w:val="en-US"/>
        </w:rPr>
        <w:t>RAN1#104bis Agreement [3]</w:t>
      </w:r>
      <w:r>
        <w:rPr>
          <w:rFonts w:hint="eastAsia"/>
          <w:lang w:val="en-US"/>
        </w:rPr>
        <w:t>:</w:t>
      </w:r>
    </w:p>
    <w:p>
      <w:pPr>
        <w:numPr>
          <w:ilvl w:val="0"/>
          <w:numId w:val="8"/>
        </w:numPr>
      </w:pPr>
      <w:r>
        <w:t xml:space="preserve">Observation 1: Propagation delay compensation based on existing Rel-15/Rel-16 TA procedure and associated granularity, with no enhancements in RAN1, is sufficient for meeting the Uu interface synchronicity error budget in LS R2-2010837 for the smart grid scenario.  </w:t>
      </w:r>
    </w:p>
    <w:p>
      <w:pPr>
        <w:numPr>
          <w:ilvl w:val="0"/>
          <w:numId w:val="8"/>
        </w:numPr>
        <w:rPr>
          <w:lang w:val="en-US"/>
        </w:rPr>
      </w:pPr>
      <w:r>
        <w:t xml:space="preserve">Observation 2: RAN1 needs to further study and specify the feasible enhancement (if any with RAN1 spec impact) for propagation delay compensation for control-to-control scenario, in order to meet the synchronicity budget of Uu interface in LS R2-2010837. </w:t>
      </w:r>
    </w:p>
    <w:p>
      <w:r>
        <w:t xml:space="preserve">Take the following as the evaluation assumptions for both RTT-based PDC and TA-based PDC.   </w:t>
      </w:r>
    </w:p>
    <w:p>
      <w:pPr>
        <w:numPr>
          <w:ilvl w:val="0"/>
          <w:numId w:val="9"/>
        </w:numPr>
      </w:pPr>
      <w:r>
        <w:t>The UE may acquire an up-to-date PD estimation after waking up from DRX. This implies that gNB may signal an update timing advance value or complete a Rx-Tx measurement procedure.</w:t>
      </w:r>
    </w:p>
    <w:p>
      <w:pPr>
        <w:numPr>
          <w:ilvl w:val="0"/>
          <w:numId w:val="9"/>
        </w:numPr>
      </w:pPr>
      <w:r>
        <w:rPr>
          <w:i/>
          <w:iCs/>
        </w:rPr>
        <w:t>error</w:t>
      </w:r>
      <w:r>
        <w:rPr>
          <w:i/>
          <w:iCs/>
          <w:vertAlign w:val="subscript"/>
        </w:rPr>
        <w:t>UE,DL,RX</w:t>
      </w:r>
      <w:r>
        <w:fldChar w:fldCharType="begin"/>
      </w:r>
      <w:r>
        <w:instrText xml:space="preserve"> QUOTE </w:instrText>
      </w:r>
      <m:oMath>
        <m:sSub>
          <m:sSubPr>
            <m:ctrlPr>
              <w:rPr>
                <w:rFonts w:ascii="Cambria Math" w:hAnsi="Cambria Math" w:cs="Calibri"/>
                <w:color w:val="000000"/>
                <w:szCs w:val="22"/>
              </w:rPr>
            </m:ctrlPr>
          </m:sSubPr>
          <m:e>
            <m:r>
              <m:rPr>
                <m:sty m:val="bi"/>
              </m:rPr>
              <w:rPr>
                <w:rFonts w:ascii="Cambria Math" w:hAnsi="Cambria Math"/>
                <w:color w:val="000000"/>
                <w:szCs w:val="22"/>
              </w:rPr>
              <m:t xml:space="preserve">error</m:t>
            </m:r>
            <m:ctrlPr>
              <w:rPr>
                <w:rFonts w:ascii="Cambria Math" w:hAnsi="Cambria Math" w:cs="Calibri"/>
                <w:color w:val="000000"/>
                <w:szCs w:val="22"/>
              </w:rPr>
            </m:ctrlPr>
          </m:e>
          <m:sub>
            <m:r>
              <m:rPr>
                <m:sty m:val="bi"/>
              </m:rPr>
              <w:rPr>
                <w:rFonts w:ascii="Cambria Math" w:hAnsi="Cambria Math"/>
                <w:color w:val="000000"/>
                <w:szCs w:val="22"/>
              </w:rPr>
              <m:t xml:space="preserve">UE</m:t>
            </m:r>
            <m:r>
              <m:rPr>
                <m:sty m:val="p"/>
              </m:rPr>
              <w:rPr>
                <w:rFonts w:ascii="Cambria Math" w:hAnsi="Cambria Math"/>
                <w:color w:val="000000"/>
                <w:szCs w:val="22"/>
              </w:rPr>
              <m:t xml:space="preserve">, </m:t>
            </m:r>
            <m:r>
              <m:rPr>
                <m:sty m:val="bi"/>
              </m:rPr>
              <w:rPr>
                <w:rFonts w:ascii="Cambria Math" w:hAnsi="Cambria Math"/>
                <w:color w:val="000000"/>
                <w:szCs w:val="22"/>
              </w:rPr>
              <m:t xml:space="preserve">DL</m:t>
            </m:r>
            <m:r>
              <m:rPr>
                <m:sty m:val="p"/>
              </m:rPr>
              <w:rPr>
                <w:rFonts w:ascii="Cambria Math" w:hAnsi="Cambria Math"/>
                <w:color w:val="000000"/>
                <w:szCs w:val="22"/>
              </w:rPr>
              <m:t xml:space="preserve">, </m:t>
            </m:r>
            <m:r>
              <m:rPr>
                <m:sty m:val="bi"/>
              </m:rPr>
              <w:rPr>
                <w:rFonts w:ascii="Cambria Math" w:hAnsi="Cambria Math"/>
                <w:color w:val="000000"/>
                <w:szCs w:val="22"/>
              </w:rPr>
              <m:t xml:space="preserve">RX</m:t>
            </m:r>
            <m:ctrlPr>
              <w:rPr>
                <w:rFonts w:ascii="Cambria Math" w:hAnsi="Cambria Math" w:cs="Calibri"/>
                <w:color w:val="000000"/>
                <w:szCs w:val="22"/>
              </w:rPr>
            </m:ctrlPr>
          </m:sub>
        </m:sSub>
      </m:oMath>
      <w:r>
        <w:instrText xml:space="preserve"> </w:instrText>
      </w:r>
      <w:r>
        <w:fldChar w:fldCharType="end"/>
      </w:r>
      <w:r>
        <w:t xml:space="preserve"> is based on other signals (e.g. CSI-RS) instead of SSB.</w:t>
      </w:r>
    </w:p>
    <w:p>
      <w:pPr>
        <w:numPr>
          <w:ilvl w:val="0"/>
          <w:numId w:val="9"/>
        </w:numPr>
      </w:pPr>
      <w:r>
        <w:rPr>
          <w:i/>
          <w:iCs/>
        </w:rPr>
        <w:t>error</w:t>
      </w:r>
      <w:r>
        <w:rPr>
          <w:i/>
          <w:iCs/>
          <w:vertAlign w:val="subscript"/>
        </w:rPr>
        <w:t>BS, UL,RX</w:t>
      </w:r>
      <w:r>
        <w:fldChar w:fldCharType="begin"/>
      </w:r>
      <w:r>
        <w:instrText xml:space="preserve"> QUOTE </w:instrText>
      </w:r>
      <m:oMath>
        <m:sSub>
          <m:sSubPr>
            <m:ctrlPr>
              <w:rPr>
                <w:rFonts w:ascii="Cambria Math" w:hAnsi="Cambria Math" w:cs="Calibri"/>
                <w:color w:val="000000"/>
                <w:szCs w:val="22"/>
              </w:rPr>
            </m:ctrlPr>
          </m:sSubPr>
          <m:e>
            <m:r>
              <m:rPr>
                <m:sty m:val="bi"/>
              </m:rPr>
              <w:rPr>
                <w:rFonts w:ascii="Cambria Math" w:hAnsi="Cambria Math"/>
                <w:color w:val="000000"/>
                <w:szCs w:val="22"/>
              </w:rPr>
              <m:t xml:space="preserve">error</m:t>
            </m:r>
            <m:ctrlPr>
              <w:rPr>
                <w:rFonts w:ascii="Cambria Math" w:hAnsi="Cambria Math" w:cs="Calibri"/>
                <w:color w:val="000000"/>
                <w:szCs w:val="22"/>
              </w:rPr>
            </m:ctrlPr>
          </m:e>
          <m:sub>
            <m:r>
              <m:rPr>
                <m:sty m:val="bi"/>
              </m:rPr>
              <w:rPr>
                <w:rFonts w:ascii="Cambria Math" w:hAnsi="Cambria Math"/>
                <w:color w:val="000000"/>
                <w:szCs w:val="22"/>
              </w:rPr>
              <m:t xml:space="preserve">UE</m:t>
            </m:r>
            <m:r>
              <m:rPr>
                <m:sty m:val="p"/>
              </m:rPr>
              <w:rPr>
                <w:rFonts w:ascii="Cambria Math" w:hAnsi="Cambria Math"/>
                <w:color w:val="000000"/>
                <w:szCs w:val="22"/>
              </w:rPr>
              <m:t xml:space="preserve">, </m:t>
            </m:r>
            <m:r>
              <m:rPr>
                <m:sty m:val="bi"/>
              </m:rPr>
              <w:rPr>
                <w:rFonts w:ascii="Cambria Math" w:hAnsi="Cambria Math"/>
                <w:color w:val="000000"/>
                <w:szCs w:val="22"/>
              </w:rPr>
              <m:t xml:space="preserve">DL</m:t>
            </m:r>
            <m:r>
              <m:rPr>
                <m:sty m:val="p"/>
              </m:rPr>
              <w:rPr>
                <w:rFonts w:ascii="Cambria Math" w:hAnsi="Cambria Math"/>
                <w:color w:val="000000"/>
                <w:szCs w:val="22"/>
              </w:rPr>
              <m:t xml:space="preserve">, </m:t>
            </m:r>
            <m:r>
              <m:rPr>
                <m:sty m:val="bi"/>
              </m:rPr>
              <w:rPr>
                <w:rFonts w:ascii="Cambria Math" w:hAnsi="Cambria Math"/>
                <w:color w:val="000000"/>
                <w:szCs w:val="22"/>
              </w:rPr>
              <m:t xml:space="preserve">RX</m:t>
            </m:r>
            <m:ctrlPr>
              <w:rPr>
                <w:rFonts w:ascii="Cambria Math" w:hAnsi="Cambria Math" w:cs="Calibri"/>
                <w:color w:val="000000"/>
                <w:szCs w:val="22"/>
              </w:rPr>
            </m:ctrlPr>
          </m:sub>
        </m:sSub>
      </m:oMath>
      <w:r>
        <w:instrText xml:space="preserve"> </w:instrText>
      </w:r>
      <w:r>
        <w:fldChar w:fldCharType="end"/>
      </w:r>
      <w:r>
        <w:t xml:space="preserve"> iss based on other uplink signals instead of contention based PRACH, e.g. SRS.  </w:t>
      </w:r>
    </w:p>
    <w:p>
      <w:pPr>
        <w:numPr>
          <w:ilvl w:val="0"/>
          <w:numId w:val="9"/>
        </w:numPr>
      </w:pPr>
      <w:r>
        <w:t>Further study and specify new procedure/signaling (if necessary) to ensure that the PD estimation can be acquired after DRX for the adopted PDC method.</w:t>
      </w:r>
    </w:p>
    <w:p>
      <w:pPr>
        <w:rPr>
          <w:lang w:val="en-US"/>
        </w:rPr>
      </w:pPr>
      <w:r>
        <w:rPr>
          <w:rFonts w:hint="eastAsia"/>
          <w:lang w:val="en-US"/>
        </w:rPr>
        <w:t>Even though RAN1 ha</w:t>
      </w:r>
      <w:r>
        <w:rPr>
          <w:lang w:val="en-US"/>
        </w:rPr>
        <w:t>s</w:t>
      </w:r>
      <w:r>
        <w:rPr>
          <w:rFonts w:hint="eastAsia"/>
          <w:lang w:val="en-US"/>
        </w:rPr>
        <w:t xml:space="preserve"> not concluded the final PDC method yet, RAN2 can discuss the PDC related issues which are independent </w:t>
      </w:r>
      <w:r>
        <w:rPr>
          <w:lang w:val="en-US"/>
        </w:rPr>
        <w:t>of</w:t>
      </w:r>
      <w:r>
        <w:rPr>
          <w:rFonts w:hint="eastAsia"/>
          <w:lang w:val="en-US"/>
        </w:rPr>
        <w:t xml:space="preserve"> the PDC method, e.g. which node perform</w:t>
      </w:r>
      <w:r>
        <w:rPr>
          <w:lang w:val="en-US"/>
        </w:rPr>
        <w:t>s</w:t>
      </w:r>
      <w:r>
        <w:rPr>
          <w:rFonts w:hint="eastAsia"/>
          <w:lang w:val="en-US"/>
        </w:rPr>
        <w:t xml:space="preserve"> the PDC. In this contribution, we will discuss some RAN2 specific issues about the PDC and give our proposals.</w:t>
      </w:r>
    </w:p>
    <w:p>
      <w:pPr>
        <w:pStyle w:val="2"/>
        <w:jc w:val="left"/>
      </w:pPr>
      <w:r>
        <w:rPr>
          <w:rFonts w:hint="eastAsia"/>
        </w:rPr>
        <w:t>Discussion</w:t>
      </w:r>
    </w:p>
    <w:p>
      <w:pPr>
        <w:rPr>
          <w:lang w:val="en-US"/>
        </w:rPr>
      </w:pPr>
      <w:r>
        <w:rPr>
          <w:rFonts w:hint="eastAsia"/>
          <w:lang w:val="en-US"/>
        </w:rPr>
        <w:t xml:space="preserve">In RAN2#113bis meeting, a RAN3 LS </w:t>
      </w:r>
      <w:r>
        <w:rPr>
          <w:rFonts w:hint="eastAsia"/>
          <w:lang w:val="en-US" w:eastAsia="zh-CN"/>
        </w:rPr>
        <w:t xml:space="preserve">[4] </w:t>
      </w:r>
      <w:r>
        <w:rPr>
          <w:rFonts w:hint="eastAsia"/>
          <w:lang w:val="en-US"/>
        </w:rPr>
        <w:t xml:space="preserve">has been received: </w:t>
      </w:r>
    </w:p>
    <w:p>
      <w:pPr>
        <w:snapToGrid w:val="0"/>
        <w:spacing w:line="252" w:lineRule="auto"/>
        <w:rPr>
          <w:b/>
          <w:bCs/>
          <w:u w:val="single"/>
        </w:rPr>
      </w:pPr>
      <w:r>
        <w:rPr>
          <w:b/>
          <w:bCs/>
          <w:u w:val="single"/>
        </w:rPr>
        <w:t>Overall Description:</w:t>
      </w:r>
    </w:p>
    <w:p>
      <w:pPr>
        <w:numPr>
          <w:ilvl w:val="0"/>
          <w:numId w:val="7"/>
        </w:numPr>
      </w:pPr>
      <w:r>
        <w:t>RAN3 has begun discussing propagation delay compensation (PDC) enhancements, including gNB-based PDC (i.e. propagation delay pre-compensation by the gNB).</w:t>
      </w:r>
    </w:p>
    <w:p>
      <w:pPr>
        <w:numPr>
          <w:ilvl w:val="0"/>
          <w:numId w:val="7"/>
        </w:numPr>
        <w:rPr>
          <w:rFonts w:ascii="Arial" w:hAnsi="Arial" w:cs="Arial"/>
        </w:rPr>
      </w:pPr>
      <w:r>
        <w:t xml:space="preserve">RAN3 considers that gNB-based PDC may have RAN3 specification impacts. However, it is RAN3 understanding that support for gNB-based PDC is up to RAN1 and RAN2 decisions. Therefore, </w:t>
      </w:r>
      <w:r>
        <w:rPr>
          <w:highlight w:val="yellow"/>
        </w:rPr>
        <w:t>RAN3 will not further discuss gNB-based PDC unless support for the functionality is first confirmed by RAN1/RAN2.</w:t>
      </w:r>
    </w:p>
    <w:p>
      <w:pPr>
        <w:rPr>
          <w:lang w:val="en-US"/>
        </w:rPr>
      </w:pPr>
      <w:r>
        <w:rPr>
          <w:rFonts w:hint="eastAsia"/>
          <w:lang w:val="en-US"/>
        </w:rPr>
        <w:t>In RAN1#104bis meeting, the following conclusion has been achieved:</w:t>
      </w:r>
    </w:p>
    <w:p>
      <w:pPr>
        <w:snapToGrid w:val="0"/>
        <w:spacing w:line="252" w:lineRule="auto"/>
        <w:rPr>
          <w:b/>
          <w:bCs/>
          <w:u w:val="single"/>
        </w:rPr>
      </w:pPr>
      <w:r>
        <w:rPr>
          <w:b/>
          <w:bCs/>
          <w:u w:val="single"/>
        </w:rPr>
        <w:t>Conclusion:</w:t>
      </w:r>
    </w:p>
    <w:p>
      <w:pPr>
        <w:numPr>
          <w:ilvl w:val="0"/>
          <w:numId w:val="7"/>
        </w:numPr>
        <w:rPr>
          <w:lang w:val="en-US"/>
        </w:rPr>
      </w:pPr>
      <w:r>
        <w:rPr>
          <w:highlight w:val="yellow"/>
        </w:rPr>
        <w:t xml:space="preserve">Leave it to RAN2 to decide whether to support UE based compensation </w:t>
      </w:r>
      <w:r>
        <w:rPr>
          <w:color w:val="000000" w:themeColor="text1"/>
          <w:highlight w:val="yellow"/>
          <w14:textFill>
            <w14:solidFill>
              <w14:schemeClr w14:val="tx1"/>
            </w14:solidFill>
          </w14:textFill>
        </w:rPr>
        <w:t>and/or g</w:t>
      </w:r>
      <w:r>
        <w:rPr>
          <w:highlight w:val="yellow"/>
        </w:rPr>
        <w:t>NB based compensation</w:t>
      </w:r>
      <w:r>
        <w:t xml:space="preserve"> for any propagation delay compensation method RAN1 </w:t>
      </w:r>
      <w:r>
        <w:rPr>
          <w:highlight w:val="yellow"/>
        </w:rPr>
        <w:t>may adopt for Rel-17</w:t>
      </w:r>
      <w:r>
        <w:t>, if applicable.</w:t>
      </w:r>
    </w:p>
    <w:p>
      <w:pPr>
        <w:rPr>
          <w:b/>
          <w:bCs/>
          <w:lang w:val="en-US"/>
        </w:rPr>
      </w:pPr>
      <w:r>
        <w:rPr>
          <w:rFonts w:hint="eastAsia"/>
          <w:b/>
          <w:bCs/>
          <w:lang w:val="en-US"/>
        </w:rPr>
        <w:t>Observation 1: Based on the RAN3 and RAN1 agreements, RAN2 is responsible to decide which node performs the PDC.</w:t>
      </w:r>
    </w:p>
    <w:p>
      <w:pPr>
        <w:rPr>
          <w:b/>
          <w:bCs/>
          <w:lang w:val="en-US"/>
        </w:rPr>
      </w:pPr>
      <w:r>
        <w:rPr>
          <w:rFonts w:hint="eastAsia"/>
          <w:b/>
          <w:bCs/>
          <w:lang w:val="en-US"/>
        </w:rPr>
        <w:t>Proposal 1: Whether to support UE based and/or gNB based PDC is up to RAN2 decision.</w:t>
      </w:r>
    </w:p>
    <w:p>
      <w:pPr>
        <w:pStyle w:val="3"/>
        <w:keepLines w:val="0"/>
        <w:tabs>
          <w:tab w:val="left" w:pos="576"/>
          <w:tab w:val="clear" w:pos="432"/>
        </w:tabs>
        <w:spacing w:line="240" w:lineRule="auto"/>
        <w:ind w:left="0" w:firstLine="0"/>
        <w:jc w:val="left"/>
        <w:rPr>
          <w:lang w:val="en-US"/>
        </w:rPr>
      </w:pPr>
      <w:r>
        <w:rPr>
          <w:rFonts w:hint="eastAsia"/>
          <w:lang w:val="en-US"/>
        </w:rPr>
        <w:t>UE based and/or gNB based PDC?</w:t>
      </w:r>
    </w:p>
    <w:p>
      <w:pPr>
        <w:spacing w:afterLines="50" w:line="240" w:lineRule="auto"/>
        <w:rPr>
          <w:lang w:val="en-US"/>
        </w:rPr>
      </w:pPr>
      <w:r>
        <w:t>In R16</w:t>
      </w:r>
      <w:r>
        <w:rPr>
          <w:rFonts w:hint="eastAsia"/>
          <w:lang w:val="en-US"/>
        </w:rPr>
        <w:t xml:space="preserve">, </w:t>
      </w:r>
      <w:r>
        <w:t xml:space="preserve">whether the UE or the </w:t>
      </w:r>
      <w:r>
        <w:rPr>
          <w:rFonts w:hint="eastAsia"/>
          <w:lang w:val="en-US"/>
        </w:rPr>
        <w:t>gNB</w:t>
      </w:r>
      <w:r>
        <w:t xml:space="preserve"> should conduct PD</w:t>
      </w:r>
      <w:r>
        <w:rPr>
          <w:rFonts w:hint="eastAsia"/>
          <w:lang w:val="en-US"/>
        </w:rPr>
        <w:t>C has been discussed for several meetings</w:t>
      </w:r>
      <w:r>
        <w:t xml:space="preserve">. </w:t>
      </w:r>
      <w:r>
        <w:rPr>
          <w:rFonts w:hint="eastAsia"/>
          <w:lang w:val="en-US"/>
        </w:rPr>
        <w:t xml:space="preserve">The final decision is that </w:t>
      </w:r>
      <w:r>
        <w:t xml:space="preserve">UE </w:t>
      </w:r>
      <w:r>
        <w:rPr>
          <w:rFonts w:hint="eastAsia"/>
          <w:lang w:val="en-US"/>
        </w:rPr>
        <w:t>may</w:t>
      </w:r>
      <w:r>
        <w:t xml:space="preserve"> conduct PDC</w:t>
      </w:r>
      <w:r>
        <w:rPr>
          <w:rFonts w:hint="eastAsia"/>
          <w:lang w:val="en-US"/>
        </w:rPr>
        <w:t xml:space="preserve"> based on implementation</w:t>
      </w:r>
      <w:r>
        <w:t>, but no requirements could be introduced on the UE conducting PD</w:t>
      </w:r>
      <w:r>
        <w:rPr>
          <w:rFonts w:hint="eastAsia"/>
          <w:lang w:val="en-US"/>
        </w:rPr>
        <w:t>C</w:t>
      </w:r>
      <w:r>
        <w:t>. In R17, this</w:t>
      </w:r>
      <w:r>
        <w:rPr>
          <w:rFonts w:hint="eastAsia"/>
          <w:lang w:val="en-US"/>
        </w:rPr>
        <w:t xml:space="preserve"> issue</w:t>
      </w:r>
      <w:r>
        <w:t xml:space="preserve"> must be reconsidered</w:t>
      </w:r>
      <w:r>
        <w:rPr>
          <w:rFonts w:hint="eastAsia"/>
          <w:lang w:val="en-US"/>
        </w:rPr>
        <w:t>. From our understanding, there are three reasons to support UE based PDC in R17:</w:t>
      </w:r>
    </w:p>
    <w:p>
      <w:pPr>
        <w:numPr>
          <w:ilvl w:val="0"/>
          <w:numId w:val="10"/>
        </w:numPr>
        <w:spacing w:afterLines="50" w:line="240" w:lineRule="auto"/>
        <w:ind w:left="0"/>
        <w:rPr>
          <w:b/>
          <w:bCs/>
          <w:lang w:val="en-US"/>
        </w:rPr>
      </w:pPr>
      <w:r>
        <w:rPr>
          <w:rFonts w:hint="eastAsia"/>
          <w:b/>
          <w:bCs/>
          <w:lang w:val="en-US"/>
        </w:rPr>
        <w:t xml:space="preserve">In R16, </w:t>
      </w:r>
      <w:r>
        <w:rPr>
          <w:rFonts w:hint="eastAsia"/>
          <w:b/>
          <w:bCs/>
          <w:lang w:val="en-US" w:eastAsia="ko-KR"/>
        </w:rPr>
        <w:t>RAN2 agreed that PDC may be done by UE implementation</w:t>
      </w:r>
      <w:r>
        <w:rPr>
          <w:rFonts w:hint="eastAsia"/>
          <w:b/>
          <w:bCs/>
          <w:lang w:val="en-US"/>
        </w:rPr>
        <w:t xml:space="preserve"> (i.e. based on TA ). </w:t>
      </w:r>
    </w:p>
    <w:p>
      <w:pPr>
        <w:spacing w:afterLines="50" w:line="240" w:lineRule="auto"/>
        <w:rPr>
          <w:lang w:val="en-US"/>
        </w:rPr>
      </w:pPr>
      <w:r>
        <w:rPr>
          <w:rFonts w:hint="eastAsia"/>
          <w:lang w:val="en-US"/>
        </w:rPr>
        <w:t>As R16 has supported UE based PDC, there is no reason to exclude the UE based PDC in R17.</w:t>
      </w:r>
    </w:p>
    <w:p>
      <w:pPr>
        <w:numPr>
          <w:ilvl w:val="0"/>
          <w:numId w:val="10"/>
        </w:numPr>
        <w:spacing w:afterLines="50" w:line="240" w:lineRule="auto"/>
        <w:ind w:left="0"/>
        <w:rPr>
          <w:b/>
          <w:bCs/>
          <w:lang w:val="en-US"/>
        </w:rPr>
      </w:pPr>
      <w:r>
        <w:rPr>
          <w:rFonts w:hint="eastAsia"/>
          <w:b/>
          <w:bCs/>
          <w:lang w:val="en-US"/>
        </w:rPr>
        <w:t xml:space="preserve">For reference time provided via broadcast, gNB based PDC is not feasible. </w:t>
      </w:r>
    </w:p>
    <w:p>
      <w:pPr>
        <w:spacing w:afterLines="50" w:line="240" w:lineRule="auto"/>
        <w:rPr>
          <w:lang w:val="en-US"/>
        </w:rPr>
      </w:pPr>
      <w:r>
        <w:rPr>
          <w:rFonts w:hint="eastAsia"/>
          <w:lang w:val="en-US"/>
        </w:rPr>
        <w:t>As t</w:t>
      </w:r>
      <w:r>
        <w:t>he propagation delay is UE specific and hence cannot be pre-compensated in a broadcast message</w:t>
      </w:r>
      <w:r>
        <w:rPr>
          <w:rFonts w:hint="eastAsia"/>
          <w:lang w:val="en-US"/>
        </w:rPr>
        <w:t xml:space="preserve">. If only gNB based PDC is adopted, it means only </w:t>
      </w:r>
      <w:r>
        <w:rPr>
          <w:lang w:val="en-US"/>
        </w:rPr>
        <w:t xml:space="preserve">the </w:t>
      </w:r>
      <w:r>
        <w:rPr>
          <w:rFonts w:hint="eastAsia"/>
          <w:lang w:val="en-US"/>
        </w:rPr>
        <w:t>unicast method can be used to provide reference time, which restrict</w:t>
      </w:r>
      <w:r>
        <w:rPr>
          <w:lang w:val="en-US"/>
        </w:rPr>
        <w:t>s</w:t>
      </w:r>
      <w:r>
        <w:rPr>
          <w:rFonts w:hint="eastAsia"/>
          <w:lang w:val="en-US"/>
        </w:rPr>
        <w:t xml:space="preserve"> the NW implementation.</w:t>
      </w:r>
    </w:p>
    <w:p>
      <w:pPr>
        <w:numPr>
          <w:ilvl w:val="0"/>
          <w:numId w:val="10"/>
        </w:numPr>
        <w:spacing w:afterLines="50" w:line="240" w:lineRule="auto"/>
        <w:ind w:left="0"/>
        <w:rPr>
          <w:b/>
          <w:bCs/>
          <w:lang w:val="en-US"/>
        </w:rPr>
      </w:pPr>
      <w:r>
        <w:rPr>
          <w:rFonts w:hint="eastAsia"/>
          <w:b/>
          <w:bCs/>
          <w:lang w:val="en-US"/>
        </w:rPr>
        <w:t xml:space="preserve">RAN1 has agreed that </w:t>
      </w:r>
      <w:r>
        <w:rPr>
          <w:b/>
          <w:bCs/>
          <w:lang w:val="en-US"/>
        </w:rPr>
        <w:t>“</w:t>
      </w:r>
      <w:r>
        <w:rPr>
          <w:rFonts w:hint="eastAsia"/>
          <w:b/>
          <w:bCs/>
          <w:i/>
          <w:lang w:val="en-US"/>
        </w:rPr>
        <w:t>Propagation delay compensation based on existing Rel-15/Rel-16 TA procedure and associated granularity</w:t>
      </w:r>
      <w:r>
        <w:rPr>
          <w:rFonts w:hint="eastAsia"/>
          <w:b/>
          <w:bCs/>
          <w:lang w:val="en-US"/>
        </w:rPr>
        <w:t>, with no enhancements in RAN1, is sufficient for scenario 3.</w:t>
      </w:r>
      <w:r>
        <w:rPr>
          <w:b/>
          <w:bCs/>
          <w:lang w:val="en-US"/>
        </w:rPr>
        <w:t>”</w:t>
      </w:r>
      <w:r>
        <w:rPr>
          <w:rFonts w:hint="eastAsia"/>
          <w:b/>
          <w:bCs/>
          <w:lang w:val="en-US"/>
        </w:rPr>
        <w:t xml:space="preserve">. </w:t>
      </w:r>
    </w:p>
    <w:p>
      <w:pPr>
        <w:spacing w:afterLines="50" w:line="240" w:lineRule="auto"/>
        <w:rPr>
          <w:lang w:val="en-US"/>
        </w:rPr>
      </w:pPr>
      <w:r>
        <w:rPr>
          <w:rFonts w:hint="eastAsia"/>
          <w:lang w:val="en-US"/>
        </w:rPr>
        <w:t>As reference time can be provided via unicast and broadcast, RAN1 agreement means that at least for broadcast UE can perform TA based PDC as legacy.</w:t>
      </w:r>
    </w:p>
    <w:p>
      <w:pPr>
        <w:spacing w:afterLines="50" w:line="240" w:lineRule="auto"/>
        <w:jc w:val="left"/>
        <w:rPr>
          <w:b/>
        </w:rPr>
      </w:pPr>
      <w:r>
        <w:rPr>
          <w:b/>
          <w:lang w:val="en-US"/>
        </w:rPr>
        <w:t xml:space="preserve">Proposal </w:t>
      </w:r>
      <w:r>
        <w:rPr>
          <w:rFonts w:hint="eastAsia"/>
          <w:b/>
          <w:lang w:val="en-US"/>
        </w:rPr>
        <w:t>2</w:t>
      </w:r>
      <w:r>
        <w:rPr>
          <w:b/>
          <w:lang w:val="en-US"/>
        </w:rPr>
        <w:t xml:space="preserve">: </w:t>
      </w:r>
      <w:r>
        <w:rPr>
          <w:rFonts w:hint="eastAsia"/>
          <w:b/>
          <w:lang w:val="en-US"/>
        </w:rPr>
        <w:t xml:space="preserve">Same </w:t>
      </w:r>
      <w:r>
        <w:rPr>
          <w:b/>
          <w:lang w:val="en-US"/>
        </w:rPr>
        <w:t>as in</w:t>
      </w:r>
      <w:r>
        <w:rPr>
          <w:rFonts w:hint="eastAsia"/>
          <w:b/>
          <w:lang w:val="en-US"/>
        </w:rPr>
        <w:t xml:space="preserve"> R16, PDC can be performed at UE side</w:t>
      </w:r>
      <w:r>
        <w:rPr>
          <w:b/>
        </w:rPr>
        <w:t>.</w:t>
      </w:r>
    </w:p>
    <w:p>
      <w:pPr>
        <w:pStyle w:val="3"/>
        <w:keepLines w:val="0"/>
        <w:tabs>
          <w:tab w:val="left" w:pos="576"/>
          <w:tab w:val="clear" w:pos="432"/>
        </w:tabs>
        <w:spacing w:line="240" w:lineRule="auto"/>
        <w:ind w:left="0" w:firstLine="0"/>
        <w:jc w:val="left"/>
        <w:rPr>
          <w:lang w:val="en-US"/>
        </w:rPr>
      </w:pPr>
      <w:r>
        <w:rPr>
          <w:lang w:val="en-US"/>
        </w:rPr>
        <w:t>P</w:t>
      </w:r>
      <w:r>
        <w:rPr>
          <w:rFonts w:hint="eastAsia"/>
          <w:lang w:val="en-US"/>
        </w:rPr>
        <w:t>DC</w:t>
      </w:r>
      <w:r>
        <w:rPr>
          <w:lang w:val="en-US"/>
        </w:rPr>
        <w:t xml:space="preserve"> for the unicast reference time</w:t>
      </w:r>
    </w:p>
    <w:p>
      <w:pPr>
        <w:rPr>
          <w:lang w:val="en-US"/>
        </w:rPr>
      </w:pPr>
      <w:r>
        <w:rPr>
          <w:rFonts w:hint="eastAsia"/>
          <w:lang w:val="en-US"/>
        </w:rPr>
        <w:t xml:space="preserve">When the reference time is provided via a unicast RRC message, either the UE or the gNB can perform </w:t>
      </w:r>
      <w:r>
        <w:rPr>
          <w:lang w:val="en-US"/>
        </w:rPr>
        <w:t xml:space="preserve">PDC </w:t>
      </w:r>
      <w:r>
        <w:rPr>
          <w:rFonts w:hint="eastAsia"/>
          <w:lang w:val="en-US"/>
        </w:rPr>
        <w:t>as long as they know the exact propagation delay. As the gNB knows the timing advance of every UE and is therefore aware of their propagation delays, gNB can perform PDC for scenario 3. For scenario 1 and scenario 2, RAN1 has not decided whether adopt enhanced TA based PDC or R</w:t>
      </w:r>
      <w:r>
        <w:rPr>
          <w:lang w:val="en-US"/>
        </w:rPr>
        <w:t>T</w:t>
      </w:r>
      <w:r>
        <w:rPr>
          <w:rFonts w:hint="eastAsia"/>
          <w:lang w:val="en-US"/>
        </w:rPr>
        <w:t xml:space="preserve">T based PDC. Even though the RTT based PDC is adopted finally, it is still possible that gNB performs PDC if UE can report the </w:t>
      </w:r>
      <w:r>
        <w:t>UE Rx</w:t>
      </w:r>
      <w:r>
        <w:rPr>
          <w:rFonts w:hint="eastAsia"/>
          <w:lang w:val="en-US"/>
        </w:rPr>
        <w:t>-</w:t>
      </w:r>
      <w:r>
        <w:t>Tx time difference</w:t>
      </w:r>
      <w:r>
        <w:rPr>
          <w:rFonts w:hint="eastAsia"/>
          <w:lang w:val="en-US"/>
        </w:rPr>
        <w:t xml:space="preserve"> to NW.</w:t>
      </w:r>
    </w:p>
    <w:p>
      <w:pPr>
        <w:rPr>
          <w:b/>
          <w:lang w:val="en-US"/>
        </w:rPr>
      </w:pPr>
      <w:r>
        <w:rPr>
          <w:b/>
          <w:lang w:val="en-US"/>
        </w:rPr>
        <w:t xml:space="preserve">Proposal </w:t>
      </w:r>
      <w:r>
        <w:rPr>
          <w:rFonts w:hint="eastAsia"/>
          <w:b/>
          <w:lang w:val="en-US"/>
        </w:rPr>
        <w:t>3</w:t>
      </w:r>
      <w:r>
        <w:rPr>
          <w:b/>
          <w:lang w:val="en-US"/>
        </w:rPr>
        <w:t xml:space="preserve">: For the unicast reference time, gNB </w:t>
      </w:r>
      <w:r>
        <w:rPr>
          <w:rFonts w:hint="eastAsia"/>
          <w:b/>
          <w:lang w:val="en-US"/>
        </w:rPr>
        <w:t xml:space="preserve">can </w:t>
      </w:r>
      <w:r>
        <w:rPr>
          <w:b/>
          <w:lang w:val="en-US"/>
        </w:rPr>
        <w:t xml:space="preserve">perform the </w:t>
      </w:r>
      <w:r>
        <w:rPr>
          <w:rFonts w:hint="eastAsia"/>
          <w:b/>
          <w:lang w:val="en-US"/>
        </w:rPr>
        <w:t>PDC</w:t>
      </w:r>
      <w:r>
        <w:rPr>
          <w:b/>
          <w:lang w:val="en-US"/>
        </w:rPr>
        <w:t>.</w:t>
      </w:r>
    </w:p>
    <w:p>
      <w:pPr>
        <w:rPr>
          <w:lang w:val="en-US"/>
        </w:rPr>
      </w:pPr>
      <w:r>
        <w:rPr>
          <w:lang w:val="en-US"/>
        </w:rPr>
        <w:t xml:space="preserve">If the gNB pre-compensation is not </w:t>
      </w:r>
      <w:r>
        <w:rPr>
          <w:rFonts w:hint="eastAsia"/>
          <w:lang w:val="en-US"/>
        </w:rPr>
        <w:t>always performed for the unicast reference time</w:t>
      </w:r>
      <w:r>
        <w:rPr>
          <w:lang w:val="en-US"/>
        </w:rPr>
        <w:t xml:space="preserve">, then </w:t>
      </w:r>
      <w:r>
        <w:rPr>
          <w:rFonts w:hint="eastAsia"/>
          <w:lang w:val="en-US"/>
        </w:rPr>
        <w:t>one</w:t>
      </w:r>
      <w:r>
        <w:rPr>
          <w:lang w:val="en-US"/>
        </w:rPr>
        <w:t xml:space="preserve"> UE needs to know when to compensate the propagation delay. Otherwise, </w:t>
      </w:r>
      <w:r>
        <w:t>double-compensation issue</w:t>
      </w:r>
      <w:r>
        <w:rPr>
          <w:rFonts w:hint="eastAsia"/>
          <w:lang w:val="en-US"/>
        </w:rPr>
        <w:t xml:space="preserve"> may</w:t>
      </w:r>
      <w:r>
        <w:rPr>
          <w:lang w:val="en-US"/>
        </w:rPr>
        <w:t xml:space="preserve"> </w:t>
      </w:r>
      <w:r>
        <w:rPr>
          <w:rFonts w:hint="eastAsia"/>
          <w:lang w:val="en-US"/>
        </w:rPr>
        <w:t>occur</w:t>
      </w:r>
      <w:r>
        <w:rPr>
          <w:lang w:val="en-US"/>
        </w:rPr>
        <w:t>.</w:t>
      </w:r>
      <w:r>
        <w:rPr>
          <w:rFonts w:hint="eastAsia"/>
          <w:lang w:val="en-US"/>
        </w:rPr>
        <w:t xml:space="preserve"> This issue will not happen if RTT based PDC is adopted. The reason is that UE can assume that NW will not perform the PDC if NW configures UE </w:t>
      </w:r>
      <w:r>
        <w:rPr>
          <w:lang w:val="en-US"/>
        </w:rPr>
        <w:t xml:space="preserve">to </w:t>
      </w:r>
      <w:r>
        <w:rPr>
          <w:rFonts w:hint="eastAsia"/>
          <w:lang w:val="en-US"/>
        </w:rPr>
        <w:t xml:space="preserve">perform propagation delay measurement. However, UE does not know whether it needs to perform the PDC or not if TA based PDC is adopted. As TA based PDC has been agreed to use in scenario 3, double-compensation anyway has to </w:t>
      </w:r>
      <w:r>
        <w:rPr>
          <w:lang w:val="en-US"/>
        </w:rPr>
        <w:t xml:space="preserve">be </w:t>
      </w:r>
      <w:r>
        <w:rPr>
          <w:rFonts w:hint="eastAsia"/>
          <w:lang w:val="en-US"/>
        </w:rPr>
        <w:t>avoid</w:t>
      </w:r>
      <w:r>
        <w:rPr>
          <w:lang w:val="en-US"/>
        </w:rPr>
        <w:t>ed</w:t>
      </w:r>
      <w:r>
        <w:rPr>
          <w:rFonts w:hint="eastAsia"/>
          <w:lang w:val="en-US"/>
        </w:rPr>
        <w:t>. Thus</w:t>
      </w:r>
      <w:r>
        <w:rPr>
          <w:lang w:val="en-US"/>
        </w:rPr>
        <w:t xml:space="preserve">, the gNB </w:t>
      </w:r>
      <w:r>
        <w:rPr>
          <w:rFonts w:hint="eastAsia"/>
          <w:lang w:val="en-US"/>
        </w:rPr>
        <w:t xml:space="preserve">needs to </w:t>
      </w:r>
      <w:r>
        <w:rPr>
          <w:lang w:val="en-US"/>
        </w:rPr>
        <w:t>indicate</w:t>
      </w:r>
      <w:r>
        <w:rPr>
          <w:rFonts w:hint="eastAsia"/>
          <w:lang w:val="en-US"/>
        </w:rPr>
        <w:t xml:space="preserve"> </w:t>
      </w:r>
      <w:r>
        <w:rPr>
          <w:lang w:val="en-US"/>
        </w:rPr>
        <w:t xml:space="preserve">UE whether the </w:t>
      </w:r>
      <w:r>
        <w:rPr>
          <w:rFonts w:hint="eastAsia"/>
          <w:lang w:val="en-US"/>
        </w:rPr>
        <w:t>PDC</w:t>
      </w:r>
      <w:r>
        <w:rPr>
          <w:lang w:val="en-US"/>
        </w:rPr>
        <w:t xml:space="preserve"> needs to be </w:t>
      </w:r>
      <w:r>
        <w:rPr>
          <w:rFonts w:hint="eastAsia"/>
          <w:lang w:val="en-US"/>
        </w:rPr>
        <w:t>done at UE side</w:t>
      </w:r>
      <w:r>
        <w:rPr>
          <w:lang w:val="en-US"/>
        </w:rPr>
        <w:t>.</w:t>
      </w:r>
      <w:r>
        <w:rPr>
          <w:rFonts w:hint="eastAsia"/>
          <w:lang w:val="en-US"/>
        </w:rPr>
        <w:t xml:space="preserve"> </w:t>
      </w:r>
    </w:p>
    <w:p>
      <w:pPr>
        <w:rPr>
          <w:b/>
          <w:lang w:val="en-US"/>
        </w:rPr>
      </w:pPr>
      <w:r>
        <w:rPr>
          <w:b/>
          <w:lang w:val="en-US"/>
        </w:rPr>
        <w:t xml:space="preserve">Proposal 4: If the </w:t>
      </w:r>
      <w:r>
        <w:rPr>
          <w:rFonts w:hint="eastAsia"/>
          <w:b/>
          <w:lang w:val="en-US"/>
        </w:rPr>
        <w:t>PDC</w:t>
      </w:r>
      <w:r>
        <w:rPr>
          <w:b/>
          <w:lang w:val="en-US"/>
        </w:rPr>
        <w:t xml:space="preserve"> is not always performed by gNB for the unicast reference time, gNB indicates </w:t>
      </w:r>
      <w:r>
        <w:rPr>
          <w:rFonts w:hint="eastAsia"/>
          <w:b/>
          <w:lang w:val="en-US"/>
        </w:rPr>
        <w:t xml:space="preserve">UE </w:t>
      </w:r>
      <w:r>
        <w:rPr>
          <w:b/>
          <w:lang w:val="en-US"/>
        </w:rPr>
        <w:t xml:space="preserve">whether the </w:t>
      </w:r>
      <w:r>
        <w:rPr>
          <w:rFonts w:hint="eastAsia"/>
          <w:b/>
          <w:lang w:val="en-US"/>
        </w:rPr>
        <w:t>PDC</w:t>
      </w:r>
      <w:r>
        <w:rPr>
          <w:b/>
          <w:lang w:val="en-US"/>
        </w:rPr>
        <w:t xml:space="preserve"> needs to be </w:t>
      </w:r>
      <w:r>
        <w:rPr>
          <w:rFonts w:hint="eastAsia"/>
          <w:b/>
          <w:lang w:val="en-US"/>
        </w:rPr>
        <w:t>done at UE side</w:t>
      </w:r>
      <w:r>
        <w:rPr>
          <w:b/>
          <w:lang w:val="en-US"/>
        </w:rPr>
        <w:t>.</w:t>
      </w:r>
    </w:p>
    <w:p>
      <w:pPr>
        <w:pStyle w:val="3"/>
        <w:keepLines w:val="0"/>
        <w:tabs>
          <w:tab w:val="left" w:pos="576"/>
          <w:tab w:val="clear" w:pos="432"/>
        </w:tabs>
        <w:spacing w:line="240" w:lineRule="auto"/>
        <w:ind w:left="0" w:firstLine="0"/>
        <w:jc w:val="left"/>
        <w:rPr>
          <w:lang w:val="en-US"/>
        </w:rPr>
      </w:pPr>
      <w:r>
        <w:rPr>
          <w:lang w:val="en-US"/>
        </w:rPr>
        <w:t>P</w:t>
      </w:r>
      <w:r>
        <w:rPr>
          <w:rFonts w:hint="eastAsia"/>
          <w:lang w:val="en-US"/>
        </w:rPr>
        <w:t>DC</w:t>
      </w:r>
      <w:r>
        <w:rPr>
          <w:lang w:val="en-US"/>
        </w:rPr>
        <w:t xml:space="preserve"> for the broadcast reference time</w:t>
      </w:r>
    </w:p>
    <w:p>
      <w:pPr>
        <w:rPr>
          <w:lang w:val="en-US"/>
        </w:rPr>
      </w:pPr>
      <w:r>
        <w:rPr>
          <w:rFonts w:hint="eastAsia"/>
          <w:lang w:val="en-US"/>
        </w:rPr>
        <w:t xml:space="preserve">RAN1 has agreed that TA based PDC is used for the smart grid scenario. </w:t>
      </w:r>
      <w:r>
        <w:rPr>
          <w:lang w:val="en-US"/>
        </w:rPr>
        <w:t>When the reference time is provided via the SIB, the UE</w:t>
      </w:r>
      <w:r>
        <w:rPr>
          <w:rFonts w:hint="eastAsia"/>
          <w:lang w:val="en-US"/>
        </w:rPr>
        <w:t xml:space="preserve"> (e.g.,</w:t>
      </w:r>
      <w:r>
        <w:rPr>
          <w:lang w:val="en-US"/>
        </w:rPr>
        <w:t xml:space="preserve"> in the uplink out-of-sync of the RRC_CONNECTED</w:t>
      </w:r>
      <w:r>
        <w:rPr>
          <w:rFonts w:hint="eastAsia"/>
          <w:lang w:val="en-US"/>
        </w:rPr>
        <w:t>)</w:t>
      </w:r>
      <w:r>
        <w:rPr>
          <w:lang w:val="en-US"/>
        </w:rPr>
        <w:t xml:space="preserve"> </w:t>
      </w:r>
      <w:r>
        <w:rPr>
          <w:rFonts w:hint="eastAsia"/>
          <w:lang w:val="en-US"/>
        </w:rPr>
        <w:t>which do</w:t>
      </w:r>
      <w:r>
        <w:rPr>
          <w:lang w:val="en-US"/>
        </w:rPr>
        <w:t>es</w:t>
      </w:r>
      <w:r>
        <w:rPr>
          <w:rFonts w:hint="eastAsia"/>
          <w:lang w:val="en-US"/>
        </w:rPr>
        <w:t xml:space="preserve"> not</w:t>
      </w:r>
      <w:r>
        <w:rPr>
          <w:lang w:val="en-US"/>
        </w:rPr>
        <w:t xml:space="preserve"> have a valid TA value</w:t>
      </w:r>
      <w:r>
        <w:rPr>
          <w:rFonts w:hint="eastAsia"/>
          <w:lang w:val="en-US"/>
        </w:rPr>
        <w:t xml:space="preserve"> has no way to perform PDC. One solution is that UE wait to perform PDC when </w:t>
      </w:r>
      <w:r>
        <w:rPr>
          <w:lang w:val="en-US"/>
        </w:rPr>
        <w:t xml:space="preserve">a </w:t>
      </w:r>
      <w:r>
        <w:rPr>
          <w:rFonts w:hint="eastAsia"/>
          <w:lang w:val="en-US"/>
        </w:rPr>
        <w:t>valid TA is available. The drawback is that the additional sync error will be brought due to UE mobility. Thus, it is better that UE can request PD information for the PDC if UE does not have a valid TA, which means that UE can request the latest TA.</w:t>
      </w:r>
      <w:r>
        <w:rPr>
          <w:lang w:val="en-US"/>
        </w:rPr>
        <w:t xml:space="preserve"> According to the MAC spec, </w:t>
      </w:r>
      <w:r>
        <w:rPr>
          <w:rFonts w:hint="eastAsia"/>
          <w:lang w:val="en-US"/>
        </w:rPr>
        <w:t>it is not</w:t>
      </w:r>
      <w:r>
        <w:rPr>
          <w:lang w:val="en-US"/>
        </w:rPr>
        <w:t xml:space="preserve"> allow</w:t>
      </w:r>
      <w:r>
        <w:rPr>
          <w:rFonts w:hint="eastAsia"/>
          <w:lang w:val="en-US"/>
        </w:rPr>
        <w:t>ed</w:t>
      </w:r>
      <w:r>
        <w:rPr>
          <w:lang w:val="en-US"/>
        </w:rPr>
        <w:t xml:space="preserve"> </w:t>
      </w:r>
      <w:r>
        <w:rPr>
          <w:rFonts w:hint="eastAsia"/>
          <w:lang w:val="en-US"/>
        </w:rPr>
        <w:t xml:space="preserve">that </w:t>
      </w:r>
      <w:r>
        <w:rPr>
          <w:lang w:val="en-US"/>
        </w:rPr>
        <w:t>the UE trigger</w:t>
      </w:r>
      <w:r>
        <w:rPr>
          <w:rFonts w:hint="eastAsia"/>
          <w:lang w:val="en-US"/>
        </w:rPr>
        <w:t>s</w:t>
      </w:r>
      <w:r>
        <w:rPr>
          <w:lang w:val="en-US"/>
        </w:rPr>
        <w:t xml:space="preserve"> the RACH procedure </w:t>
      </w:r>
      <w:r>
        <w:rPr>
          <w:rFonts w:hint="eastAsia"/>
          <w:lang w:val="en-US"/>
        </w:rPr>
        <w:t>only for the PDC</w:t>
      </w:r>
      <w:r>
        <w:rPr>
          <w:lang w:val="en-US"/>
        </w:rPr>
        <w:t xml:space="preserve">. Thus </w:t>
      </w:r>
      <w:r>
        <w:rPr>
          <w:rFonts w:hint="eastAsia"/>
          <w:lang w:val="en-US"/>
        </w:rPr>
        <w:t xml:space="preserve">it is proposed that </w:t>
      </w:r>
      <w:r>
        <w:rPr>
          <w:lang w:val="en-US"/>
        </w:rPr>
        <w:t xml:space="preserve">a new trigger condition for the RACH procedure is </w:t>
      </w:r>
      <w:r>
        <w:rPr>
          <w:rFonts w:hint="eastAsia"/>
          <w:lang w:val="en-US"/>
        </w:rPr>
        <w:t>introduced</w:t>
      </w:r>
      <w:r>
        <w:rPr>
          <w:lang w:val="en-US"/>
        </w:rPr>
        <w:t xml:space="preserve"> for the propagation delay compensation of the broadcast reference time.</w:t>
      </w:r>
    </w:p>
    <w:p>
      <w:pPr>
        <w:rPr>
          <w:b/>
          <w:lang w:val="en-US"/>
        </w:rPr>
      </w:pPr>
      <w:r>
        <w:rPr>
          <w:b/>
          <w:lang w:val="en-US"/>
        </w:rPr>
        <w:t xml:space="preserve">Proposal </w:t>
      </w:r>
      <w:r>
        <w:rPr>
          <w:rFonts w:hint="eastAsia"/>
          <w:b/>
          <w:lang w:val="en-US"/>
        </w:rPr>
        <w:t>5</w:t>
      </w:r>
      <w:r>
        <w:rPr>
          <w:b/>
          <w:lang w:val="en-US"/>
        </w:rPr>
        <w:t xml:space="preserve">: For the broadcast reference time, </w:t>
      </w:r>
      <w:r>
        <w:rPr>
          <w:rFonts w:hint="eastAsia"/>
          <w:b/>
          <w:lang w:val="en-US"/>
        </w:rPr>
        <w:t>UE can trigger the RACH procedure for the PDC if the UE does not have a valid TA</w:t>
      </w:r>
      <w:r>
        <w:rPr>
          <w:b/>
          <w:lang w:val="en-US"/>
        </w:rPr>
        <w:t>.</w:t>
      </w:r>
    </w:p>
    <w:p>
      <w:pPr>
        <w:pStyle w:val="2"/>
        <w:jc w:val="left"/>
      </w:pPr>
      <w:r>
        <w:t>Conclusions</w:t>
      </w:r>
    </w:p>
    <w:p>
      <w:pPr>
        <w:spacing w:afterLines="50" w:line="240" w:lineRule="auto"/>
        <w:jc w:val="left"/>
      </w:pPr>
      <w:bookmarkStart w:id="3" w:name="_GoBack"/>
      <w:r>
        <w:t xml:space="preserve">Based on the analysis given above, we have the following observation and </w:t>
      </w:r>
      <w:r>
        <w:rPr>
          <w:rFonts w:hint="eastAsia"/>
        </w:rPr>
        <w:t>p</w:t>
      </w:r>
      <w:r>
        <w:t>roposals</w:t>
      </w:r>
      <w:r>
        <w:rPr>
          <w:rFonts w:hint="eastAsia"/>
        </w:rPr>
        <w:t>:</w:t>
      </w:r>
    </w:p>
    <w:p>
      <w:pPr>
        <w:rPr>
          <w:b/>
          <w:bCs/>
          <w:lang w:val="en-US"/>
        </w:rPr>
      </w:pPr>
      <w:r>
        <w:rPr>
          <w:rFonts w:hint="eastAsia"/>
          <w:b/>
          <w:bCs/>
          <w:lang w:val="en-US"/>
        </w:rPr>
        <w:t>Observation 1: Based on the RAN3 and RAN1 agreement, RAN2 is responsible to decide which node performs the PDC.</w:t>
      </w:r>
    </w:p>
    <w:p>
      <w:pPr>
        <w:rPr>
          <w:b/>
          <w:bCs/>
          <w:lang w:val="en-US"/>
        </w:rPr>
      </w:pPr>
      <w:r>
        <w:rPr>
          <w:rFonts w:hint="eastAsia"/>
          <w:b/>
          <w:bCs/>
          <w:lang w:val="en-US"/>
        </w:rPr>
        <w:t>Proposal 1: Whether to support UE based and/or gNB based PDC is up to RAN2 decision.</w:t>
      </w:r>
    </w:p>
    <w:p>
      <w:pPr>
        <w:spacing w:afterLines="50" w:line="240" w:lineRule="auto"/>
        <w:jc w:val="left"/>
        <w:rPr>
          <w:b/>
        </w:rPr>
      </w:pPr>
      <w:r>
        <w:rPr>
          <w:b/>
          <w:lang w:val="en-US"/>
        </w:rPr>
        <w:t xml:space="preserve">Proposal </w:t>
      </w:r>
      <w:r>
        <w:rPr>
          <w:rFonts w:hint="eastAsia"/>
          <w:b/>
          <w:lang w:val="en-US"/>
        </w:rPr>
        <w:t>2</w:t>
      </w:r>
      <w:r>
        <w:rPr>
          <w:b/>
          <w:lang w:val="en-US"/>
        </w:rPr>
        <w:t xml:space="preserve">: </w:t>
      </w:r>
      <w:r>
        <w:rPr>
          <w:rFonts w:hint="eastAsia"/>
          <w:b/>
          <w:lang w:val="en-US"/>
        </w:rPr>
        <w:t>Same as in R16, PDC can be performed at the UE side</w:t>
      </w:r>
      <w:r>
        <w:rPr>
          <w:b/>
        </w:rPr>
        <w:t>.</w:t>
      </w:r>
    </w:p>
    <w:p>
      <w:pPr>
        <w:rPr>
          <w:b/>
          <w:lang w:val="en-US"/>
        </w:rPr>
      </w:pPr>
      <w:r>
        <w:rPr>
          <w:b/>
          <w:lang w:val="en-US"/>
        </w:rPr>
        <w:t xml:space="preserve">Proposal </w:t>
      </w:r>
      <w:r>
        <w:rPr>
          <w:rFonts w:hint="eastAsia"/>
          <w:b/>
          <w:lang w:val="en-US"/>
        </w:rPr>
        <w:t>3</w:t>
      </w:r>
      <w:r>
        <w:rPr>
          <w:b/>
          <w:lang w:val="en-US"/>
        </w:rPr>
        <w:t xml:space="preserve">: For the unicast reference time, gNB </w:t>
      </w:r>
      <w:r>
        <w:rPr>
          <w:rFonts w:hint="eastAsia"/>
          <w:b/>
          <w:lang w:val="en-US"/>
        </w:rPr>
        <w:t xml:space="preserve">can </w:t>
      </w:r>
      <w:r>
        <w:rPr>
          <w:b/>
          <w:lang w:val="en-US"/>
        </w:rPr>
        <w:t xml:space="preserve">perform the </w:t>
      </w:r>
      <w:r>
        <w:rPr>
          <w:rFonts w:hint="eastAsia"/>
          <w:b/>
          <w:lang w:val="en-US"/>
        </w:rPr>
        <w:t>PDC</w:t>
      </w:r>
      <w:r>
        <w:rPr>
          <w:b/>
          <w:lang w:val="en-US"/>
        </w:rPr>
        <w:t>.</w:t>
      </w:r>
    </w:p>
    <w:p>
      <w:pPr>
        <w:rPr>
          <w:b/>
          <w:lang w:val="en-US"/>
        </w:rPr>
      </w:pPr>
      <w:r>
        <w:rPr>
          <w:b/>
          <w:lang w:val="en-US"/>
        </w:rPr>
        <w:t xml:space="preserve">Proposal 4: If the </w:t>
      </w:r>
      <w:r>
        <w:rPr>
          <w:rFonts w:hint="eastAsia"/>
          <w:b/>
          <w:lang w:val="en-US"/>
        </w:rPr>
        <w:t>PDC</w:t>
      </w:r>
      <w:r>
        <w:rPr>
          <w:b/>
          <w:lang w:val="en-US"/>
        </w:rPr>
        <w:t xml:space="preserve"> is not always performed by the gNB for the unicast reference time, the gNB indicates whether the </w:t>
      </w:r>
      <w:r>
        <w:rPr>
          <w:rFonts w:hint="eastAsia"/>
          <w:b/>
          <w:lang w:val="en-US"/>
        </w:rPr>
        <w:t>PDC</w:t>
      </w:r>
      <w:r>
        <w:rPr>
          <w:b/>
          <w:lang w:val="en-US"/>
        </w:rPr>
        <w:t xml:space="preserve"> needs to be </w:t>
      </w:r>
      <w:r>
        <w:rPr>
          <w:rFonts w:hint="eastAsia"/>
          <w:b/>
          <w:lang w:val="en-US"/>
        </w:rPr>
        <w:t>done at UE side</w:t>
      </w:r>
      <w:r>
        <w:rPr>
          <w:b/>
          <w:lang w:val="en-US"/>
        </w:rPr>
        <w:t>.</w:t>
      </w:r>
    </w:p>
    <w:p>
      <w:pPr>
        <w:rPr>
          <w:b/>
          <w:lang w:val="en-US"/>
        </w:rPr>
      </w:pPr>
      <w:bookmarkStart w:id="2" w:name="_Toc502437832"/>
      <w:r>
        <w:rPr>
          <w:b/>
          <w:lang w:val="en-US"/>
        </w:rPr>
        <w:t xml:space="preserve">Proposal </w:t>
      </w:r>
      <w:r>
        <w:rPr>
          <w:rFonts w:hint="eastAsia"/>
          <w:b/>
          <w:lang w:val="en-US"/>
        </w:rPr>
        <w:t>5</w:t>
      </w:r>
      <w:r>
        <w:rPr>
          <w:b/>
          <w:lang w:val="en-US"/>
        </w:rPr>
        <w:t xml:space="preserve">: For the broadcast reference time, </w:t>
      </w:r>
      <w:r>
        <w:rPr>
          <w:rFonts w:hint="eastAsia"/>
          <w:b/>
          <w:lang w:val="en-US"/>
        </w:rPr>
        <w:t>UE can trigger the RACH procedure for the PDC if the UE does not have a valid TA</w:t>
      </w:r>
      <w:r>
        <w:rPr>
          <w:b/>
          <w:lang w:val="en-US"/>
        </w:rPr>
        <w:t>.</w:t>
      </w:r>
    </w:p>
    <w:bookmarkEnd w:id="3"/>
    <w:p>
      <w:pPr>
        <w:pStyle w:val="2"/>
        <w:spacing w:before="180" w:line="240" w:lineRule="auto"/>
        <w:ind w:left="0" w:firstLine="0"/>
        <w:jc w:val="left"/>
      </w:pPr>
      <w:r>
        <w:t>Reference</w:t>
      </w:r>
    </w:p>
    <w:bookmarkEnd w:id="2"/>
    <w:p>
      <w:pPr>
        <w:numPr>
          <w:ilvl w:val="0"/>
          <w:numId w:val="11"/>
        </w:numPr>
        <w:spacing w:afterLines="50" w:line="240" w:lineRule="auto"/>
        <w:jc w:val="left"/>
      </w:pPr>
      <w:r>
        <w:t>RAN2#1</w:t>
      </w:r>
      <w:r>
        <w:rPr>
          <w:rFonts w:hint="eastAsia"/>
          <w:lang w:val="en-US"/>
        </w:rPr>
        <w:t>12</w:t>
      </w:r>
      <w:r>
        <w:t xml:space="preserve"> meeting minutes.</w:t>
      </w:r>
    </w:p>
    <w:p>
      <w:pPr>
        <w:numPr>
          <w:ilvl w:val="0"/>
          <w:numId w:val="11"/>
        </w:numPr>
        <w:spacing w:afterLines="50" w:line="240" w:lineRule="auto"/>
        <w:jc w:val="left"/>
      </w:pPr>
      <w:r>
        <w:t>RAN2#1</w:t>
      </w:r>
      <w:r>
        <w:rPr>
          <w:rFonts w:hint="eastAsia"/>
          <w:lang w:val="en-US"/>
        </w:rPr>
        <w:t>13</w:t>
      </w:r>
      <w:r>
        <w:t xml:space="preserve"> meeting minutes.</w:t>
      </w:r>
    </w:p>
    <w:p>
      <w:pPr>
        <w:numPr>
          <w:ilvl w:val="0"/>
          <w:numId w:val="11"/>
        </w:numPr>
        <w:spacing w:afterLines="50" w:line="240" w:lineRule="auto"/>
        <w:jc w:val="left"/>
      </w:pPr>
      <w:r>
        <w:t>RAN</w:t>
      </w:r>
      <w:r>
        <w:rPr>
          <w:rFonts w:hint="eastAsia"/>
          <w:lang w:val="en-US"/>
        </w:rPr>
        <w:t>1</w:t>
      </w:r>
      <w:r>
        <w:t>#1</w:t>
      </w:r>
      <w:r>
        <w:rPr>
          <w:rFonts w:hint="eastAsia"/>
          <w:lang w:val="en-US"/>
        </w:rPr>
        <w:t>04bis</w:t>
      </w:r>
      <w:r>
        <w:t xml:space="preserve"> meeting minutes.</w:t>
      </w:r>
    </w:p>
    <w:p>
      <w:pPr>
        <w:numPr>
          <w:ilvl w:val="0"/>
          <w:numId w:val="11"/>
        </w:numPr>
        <w:spacing w:afterLines="50" w:line="240" w:lineRule="auto"/>
        <w:jc w:val="left"/>
      </w:pPr>
      <w:r>
        <w:t>R2-2102631</w:t>
      </w:r>
      <w:r>
        <w:rPr>
          <w:rFonts w:hint="eastAsia"/>
          <w:lang w:val="en-US"/>
        </w:rPr>
        <w:t xml:space="preserve">, </w:t>
      </w:r>
      <w:r>
        <w:t xml:space="preserve">LS on gNB-based propagation delay compensation (R3-211136; contact: Nokia)”, </w:t>
      </w:r>
    </w:p>
    <w:p>
      <w:pPr>
        <w:spacing w:afterLines="50" w:line="240" w:lineRule="auto"/>
        <w:jc w:val="left"/>
      </w:pP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820"/>
        <w:tab w:val="right" w:pos="9639"/>
      </w:tabs>
      <w:jc w:val="left"/>
    </w:pPr>
    <w:r>
      <w:rPr>
        <w:rStyle w:val="2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8933CD"/>
    <w:multiLevelType w:val="singleLevel"/>
    <w:tmpl w:val="B28933CD"/>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05603C73"/>
    <w:multiLevelType w:val="singleLevel"/>
    <w:tmpl w:val="05603C73"/>
    <w:lvl w:ilvl="0" w:tentative="0">
      <w:start w:val="1"/>
      <w:numFmt w:val="decimal"/>
      <w:suff w:val="space"/>
      <w:lvlText w:val="[%1]"/>
      <w:lvlJc w:val="left"/>
    </w:lvl>
  </w:abstractNum>
  <w:abstractNum w:abstractNumId="3">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1E9B53E1"/>
    <w:multiLevelType w:val="multilevel"/>
    <w:tmpl w:val="1E9B53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5449E5"/>
    <w:multiLevelType w:val="multilevel"/>
    <w:tmpl w:val="2C5449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61DC0555"/>
    <w:multiLevelType w:val="multilevel"/>
    <w:tmpl w:val="61DC05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7"/>
  </w:num>
  <w:num w:numId="3">
    <w:abstractNumId w:val="8"/>
  </w:num>
  <w:num w:numId="4">
    <w:abstractNumId w:val="3"/>
  </w:num>
  <w:num w:numId="5">
    <w:abstractNumId w:val="6"/>
  </w:num>
  <w:num w:numId="6">
    <w:abstractNumId w:val="10"/>
  </w:num>
  <w:num w:numId="7">
    <w:abstractNumId w:val="9"/>
  </w:num>
  <w:num w:numId="8">
    <w:abstractNumId w:val="4"/>
  </w:num>
  <w:num w:numId="9">
    <w:abstractNumId w:val="5"/>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trackRevisions w:val="1"/>
  <w:documentProtection w:enforcement="0"/>
  <w:defaultTabStop w:val="420"/>
  <w:drawingGridVerticalSpacing w:val="200"/>
  <w:displayHorizontalDrawingGridEvery w:val="0"/>
  <w:displayVerticalDrawingGridEvery w:val="2"/>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uNaAEVOTic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5E6A"/>
    <w:rsid w:val="000060EF"/>
    <w:rsid w:val="000062EE"/>
    <w:rsid w:val="000073F2"/>
    <w:rsid w:val="00007DDA"/>
    <w:rsid w:val="0001015D"/>
    <w:rsid w:val="000103B4"/>
    <w:rsid w:val="0001078A"/>
    <w:rsid w:val="0001126E"/>
    <w:rsid w:val="00011C1B"/>
    <w:rsid w:val="000127B4"/>
    <w:rsid w:val="00012F38"/>
    <w:rsid w:val="000136FE"/>
    <w:rsid w:val="0001380D"/>
    <w:rsid w:val="00013A3B"/>
    <w:rsid w:val="00013C76"/>
    <w:rsid w:val="00013F61"/>
    <w:rsid w:val="000143D0"/>
    <w:rsid w:val="000154C5"/>
    <w:rsid w:val="000168B4"/>
    <w:rsid w:val="000168F5"/>
    <w:rsid w:val="00016AAF"/>
    <w:rsid w:val="00016D91"/>
    <w:rsid w:val="000178FF"/>
    <w:rsid w:val="00017AAC"/>
    <w:rsid w:val="000201BE"/>
    <w:rsid w:val="000201F5"/>
    <w:rsid w:val="000202F6"/>
    <w:rsid w:val="00021438"/>
    <w:rsid w:val="0002174B"/>
    <w:rsid w:val="00021EC9"/>
    <w:rsid w:val="0002330B"/>
    <w:rsid w:val="00023408"/>
    <w:rsid w:val="000239A0"/>
    <w:rsid w:val="00023FAD"/>
    <w:rsid w:val="0002406F"/>
    <w:rsid w:val="00025475"/>
    <w:rsid w:val="00025A91"/>
    <w:rsid w:val="00025BE4"/>
    <w:rsid w:val="00025E38"/>
    <w:rsid w:val="00026A00"/>
    <w:rsid w:val="000274B9"/>
    <w:rsid w:val="0002762F"/>
    <w:rsid w:val="0003079B"/>
    <w:rsid w:val="0003222E"/>
    <w:rsid w:val="00032336"/>
    <w:rsid w:val="000330F9"/>
    <w:rsid w:val="000332BA"/>
    <w:rsid w:val="00033817"/>
    <w:rsid w:val="0003389F"/>
    <w:rsid w:val="00034109"/>
    <w:rsid w:val="00034515"/>
    <w:rsid w:val="00034E62"/>
    <w:rsid w:val="0003642B"/>
    <w:rsid w:val="0003728A"/>
    <w:rsid w:val="0003789E"/>
    <w:rsid w:val="00037FC9"/>
    <w:rsid w:val="00040248"/>
    <w:rsid w:val="00040566"/>
    <w:rsid w:val="000409BE"/>
    <w:rsid w:val="00041967"/>
    <w:rsid w:val="00041EBF"/>
    <w:rsid w:val="00042AE4"/>
    <w:rsid w:val="00043412"/>
    <w:rsid w:val="0004394D"/>
    <w:rsid w:val="0004432C"/>
    <w:rsid w:val="00044466"/>
    <w:rsid w:val="0004548C"/>
    <w:rsid w:val="000459C8"/>
    <w:rsid w:val="00045F13"/>
    <w:rsid w:val="0004621D"/>
    <w:rsid w:val="0004630D"/>
    <w:rsid w:val="00046BE8"/>
    <w:rsid w:val="0005010C"/>
    <w:rsid w:val="00050C2A"/>
    <w:rsid w:val="00050D97"/>
    <w:rsid w:val="0005104E"/>
    <w:rsid w:val="00051174"/>
    <w:rsid w:val="000512D7"/>
    <w:rsid w:val="00052676"/>
    <w:rsid w:val="000527DD"/>
    <w:rsid w:val="00053D37"/>
    <w:rsid w:val="000543B4"/>
    <w:rsid w:val="000545DC"/>
    <w:rsid w:val="00054F7D"/>
    <w:rsid w:val="00055254"/>
    <w:rsid w:val="00055B29"/>
    <w:rsid w:val="00056DB8"/>
    <w:rsid w:val="00057CF4"/>
    <w:rsid w:val="0006047C"/>
    <w:rsid w:val="00060C87"/>
    <w:rsid w:val="00060E84"/>
    <w:rsid w:val="000616AB"/>
    <w:rsid w:val="00061E8E"/>
    <w:rsid w:val="00061FED"/>
    <w:rsid w:val="00062AF0"/>
    <w:rsid w:val="000632EE"/>
    <w:rsid w:val="0006394F"/>
    <w:rsid w:val="00063A9C"/>
    <w:rsid w:val="00064948"/>
    <w:rsid w:val="00064E2B"/>
    <w:rsid w:val="00065C61"/>
    <w:rsid w:val="00065DD5"/>
    <w:rsid w:val="000670AE"/>
    <w:rsid w:val="000672AD"/>
    <w:rsid w:val="000672F2"/>
    <w:rsid w:val="00067389"/>
    <w:rsid w:val="00070914"/>
    <w:rsid w:val="00070AE4"/>
    <w:rsid w:val="00070B95"/>
    <w:rsid w:val="00071E05"/>
    <w:rsid w:val="0007208E"/>
    <w:rsid w:val="000723DF"/>
    <w:rsid w:val="00072488"/>
    <w:rsid w:val="00072A9A"/>
    <w:rsid w:val="000730DE"/>
    <w:rsid w:val="000731C7"/>
    <w:rsid w:val="00073D27"/>
    <w:rsid w:val="00074854"/>
    <w:rsid w:val="000751C1"/>
    <w:rsid w:val="000759D1"/>
    <w:rsid w:val="00075EB2"/>
    <w:rsid w:val="000761EB"/>
    <w:rsid w:val="000762F4"/>
    <w:rsid w:val="00076D3C"/>
    <w:rsid w:val="00076EC4"/>
    <w:rsid w:val="00077E34"/>
    <w:rsid w:val="00077EE0"/>
    <w:rsid w:val="000803A0"/>
    <w:rsid w:val="00080AE7"/>
    <w:rsid w:val="00082C74"/>
    <w:rsid w:val="00083BD2"/>
    <w:rsid w:val="00083C4D"/>
    <w:rsid w:val="00083DF9"/>
    <w:rsid w:val="00083E8A"/>
    <w:rsid w:val="00084367"/>
    <w:rsid w:val="00086799"/>
    <w:rsid w:val="00086B41"/>
    <w:rsid w:val="00086FB4"/>
    <w:rsid w:val="00090031"/>
    <w:rsid w:val="000902B7"/>
    <w:rsid w:val="00090B25"/>
    <w:rsid w:val="00090CFA"/>
    <w:rsid w:val="00090DFC"/>
    <w:rsid w:val="00091492"/>
    <w:rsid w:val="00091792"/>
    <w:rsid w:val="0009216B"/>
    <w:rsid w:val="00093179"/>
    <w:rsid w:val="00093671"/>
    <w:rsid w:val="00093B7E"/>
    <w:rsid w:val="0009608E"/>
    <w:rsid w:val="00096252"/>
    <w:rsid w:val="00096795"/>
    <w:rsid w:val="000967FA"/>
    <w:rsid w:val="00096835"/>
    <w:rsid w:val="00096F49"/>
    <w:rsid w:val="00096F70"/>
    <w:rsid w:val="00097C7F"/>
    <w:rsid w:val="00097C9C"/>
    <w:rsid w:val="000A0410"/>
    <w:rsid w:val="000A0660"/>
    <w:rsid w:val="000A0B52"/>
    <w:rsid w:val="000A1D44"/>
    <w:rsid w:val="000A2371"/>
    <w:rsid w:val="000A264C"/>
    <w:rsid w:val="000A2AA2"/>
    <w:rsid w:val="000A35A3"/>
    <w:rsid w:val="000A367D"/>
    <w:rsid w:val="000A3746"/>
    <w:rsid w:val="000A42C3"/>
    <w:rsid w:val="000A4393"/>
    <w:rsid w:val="000A451E"/>
    <w:rsid w:val="000A4EC4"/>
    <w:rsid w:val="000A5645"/>
    <w:rsid w:val="000A68BB"/>
    <w:rsid w:val="000A6A85"/>
    <w:rsid w:val="000A75CC"/>
    <w:rsid w:val="000A7685"/>
    <w:rsid w:val="000A796C"/>
    <w:rsid w:val="000B0705"/>
    <w:rsid w:val="000B148E"/>
    <w:rsid w:val="000B1C79"/>
    <w:rsid w:val="000B1CE6"/>
    <w:rsid w:val="000B1D96"/>
    <w:rsid w:val="000B2113"/>
    <w:rsid w:val="000B2721"/>
    <w:rsid w:val="000B2A44"/>
    <w:rsid w:val="000B30CF"/>
    <w:rsid w:val="000B4A6F"/>
    <w:rsid w:val="000B4CFF"/>
    <w:rsid w:val="000B4E3C"/>
    <w:rsid w:val="000B5F70"/>
    <w:rsid w:val="000B61FA"/>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01A"/>
    <w:rsid w:val="000D2A73"/>
    <w:rsid w:val="000D3047"/>
    <w:rsid w:val="000D30BF"/>
    <w:rsid w:val="000D3164"/>
    <w:rsid w:val="000D38B3"/>
    <w:rsid w:val="000D4958"/>
    <w:rsid w:val="000D4BC3"/>
    <w:rsid w:val="000D4C74"/>
    <w:rsid w:val="000D5491"/>
    <w:rsid w:val="000D6077"/>
    <w:rsid w:val="000D66BF"/>
    <w:rsid w:val="000D6CA0"/>
    <w:rsid w:val="000D6CF0"/>
    <w:rsid w:val="000D7C04"/>
    <w:rsid w:val="000D7D43"/>
    <w:rsid w:val="000E00C1"/>
    <w:rsid w:val="000E01AE"/>
    <w:rsid w:val="000E06DC"/>
    <w:rsid w:val="000E0BF3"/>
    <w:rsid w:val="000E0E6A"/>
    <w:rsid w:val="000E141F"/>
    <w:rsid w:val="000E143A"/>
    <w:rsid w:val="000E1C35"/>
    <w:rsid w:val="000E1C42"/>
    <w:rsid w:val="000E3E39"/>
    <w:rsid w:val="000E4363"/>
    <w:rsid w:val="000E5FDE"/>
    <w:rsid w:val="000E778C"/>
    <w:rsid w:val="000E7CE0"/>
    <w:rsid w:val="000F03D3"/>
    <w:rsid w:val="000F1473"/>
    <w:rsid w:val="000F162A"/>
    <w:rsid w:val="000F231C"/>
    <w:rsid w:val="000F272B"/>
    <w:rsid w:val="000F3711"/>
    <w:rsid w:val="000F3C57"/>
    <w:rsid w:val="000F48C0"/>
    <w:rsid w:val="000F49A2"/>
    <w:rsid w:val="000F5700"/>
    <w:rsid w:val="000F583A"/>
    <w:rsid w:val="000F5C63"/>
    <w:rsid w:val="000F603D"/>
    <w:rsid w:val="000F6303"/>
    <w:rsid w:val="000F6884"/>
    <w:rsid w:val="000F68DD"/>
    <w:rsid w:val="000F71C1"/>
    <w:rsid w:val="000F737B"/>
    <w:rsid w:val="000F7453"/>
    <w:rsid w:val="000F7F11"/>
    <w:rsid w:val="001003CD"/>
    <w:rsid w:val="0010083D"/>
    <w:rsid w:val="001014E0"/>
    <w:rsid w:val="0010165C"/>
    <w:rsid w:val="00101B49"/>
    <w:rsid w:val="00101C70"/>
    <w:rsid w:val="0010283B"/>
    <w:rsid w:val="00102A80"/>
    <w:rsid w:val="00102B9B"/>
    <w:rsid w:val="00103483"/>
    <w:rsid w:val="001036A0"/>
    <w:rsid w:val="001038D8"/>
    <w:rsid w:val="001041B8"/>
    <w:rsid w:val="00104E02"/>
    <w:rsid w:val="001051CC"/>
    <w:rsid w:val="00105FC1"/>
    <w:rsid w:val="001069BB"/>
    <w:rsid w:val="00107090"/>
    <w:rsid w:val="001074F1"/>
    <w:rsid w:val="00107B07"/>
    <w:rsid w:val="00110419"/>
    <w:rsid w:val="00110F82"/>
    <w:rsid w:val="001110CD"/>
    <w:rsid w:val="00111326"/>
    <w:rsid w:val="00111B28"/>
    <w:rsid w:val="00112478"/>
    <w:rsid w:val="001127AE"/>
    <w:rsid w:val="00112864"/>
    <w:rsid w:val="001128D2"/>
    <w:rsid w:val="00112A86"/>
    <w:rsid w:val="00112BA4"/>
    <w:rsid w:val="00112D9F"/>
    <w:rsid w:val="00112E0B"/>
    <w:rsid w:val="00113507"/>
    <w:rsid w:val="001141C8"/>
    <w:rsid w:val="00114657"/>
    <w:rsid w:val="00114731"/>
    <w:rsid w:val="00114C43"/>
    <w:rsid w:val="00115666"/>
    <w:rsid w:val="00115741"/>
    <w:rsid w:val="00115BDD"/>
    <w:rsid w:val="00115EBC"/>
    <w:rsid w:val="001173C2"/>
    <w:rsid w:val="001179FA"/>
    <w:rsid w:val="00117A55"/>
    <w:rsid w:val="00117C91"/>
    <w:rsid w:val="00120038"/>
    <w:rsid w:val="0012052C"/>
    <w:rsid w:val="001209D1"/>
    <w:rsid w:val="00120F78"/>
    <w:rsid w:val="0012126A"/>
    <w:rsid w:val="00121D44"/>
    <w:rsid w:val="00121FBB"/>
    <w:rsid w:val="00121FCA"/>
    <w:rsid w:val="00122936"/>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5FC"/>
    <w:rsid w:val="00136B64"/>
    <w:rsid w:val="00136DEF"/>
    <w:rsid w:val="0013795E"/>
    <w:rsid w:val="00137D3A"/>
    <w:rsid w:val="001402B9"/>
    <w:rsid w:val="00140725"/>
    <w:rsid w:val="00141F63"/>
    <w:rsid w:val="00142856"/>
    <w:rsid w:val="00143609"/>
    <w:rsid w:val="00143A70"/>
    <w:rsid w:val="00144C58"/>
    <w:rsid w:val="00144D2C"/>
    <w:rsid w:val="00145B43"/>
    <w:rsid w:val="00145D75"/>
    <w:rsid w:val="00145FB7"/>
    <w:rsid w:val="001467E9"/>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58DA"/>
    <w:rsid w:val="001564B3"/>
    <w:rsid w:val="00156A78"/>
    <w:rsid w:val="001572D6"/>
    <w:rsid w:val="001578BF"/>
    <w:rsid w:val="001607AD"/>
    <w:rsid w:val="00160F5E"/>
    <w:rsid w:val="00161188"/>
    <w:rsid w:val="001617DC"/>
    <w:rsid w:val="001618F1"/>
    <w:rsid w:val="00161A91"/>
    <w:rsid w:val="00161C9E"/>
    <w:rsid w:val="00161CCD"/>
    <w:rsid w:val="00162191"/>
    <w:rsid w:val="0016222A"/>
    <w:rsid w:val="001637E4"/>
    <w:rsid w:val="00163928"/>
    <w:rsid w:val="00163995"/>
    <w:rsid w:val="001639E1"/>
    <w:rsid w:val="00163FF5"/>
    <w:rsid w:val="00164B98"/>
    <w:rsid w:val="00164CEC"/>
    <w:rsid w:val="00164F05"/>
    <w:rsid w:val="001656D9"/>
    <w:rsid w:val="001667BE"/>
    <w:rsid w:val="00167341"/>
    <w:rsid w:val="0016746E"/>
    <w:rsid w:val="00167C78"/>
    <w:rsid w:val="00170133"/>
    <w:rsid w:val="0017013D"/>
    <w:rsid w:val="001709E4"/>
    <w:rsid w:val="00170C2F"/>
    <w:rsid w:val="00171325"/>
    <w:rsid w:val="00171358"/>
    <w:rsid w:val="00171381"/>
    <w:rsid w:val="00171852"/>
    <w:rsid w:val="00171D59"/>
    <w:rsid w:val="00172253"/>
    <w:rsid w:val="00172642"/>
    <w:rsid w:val="001734B3"/>
    <w:rsid w:val="0017352C"/>
    <w:rsid w:val="00173DF8"/>
    <w:rsid w:val="00173FE1"/>
    <w:rsid w:val="001742F6"/>
    <w:rsid w:val="001743C9"/>
    <w:rsid w:val="0017443F"/>
    <w:rsid w:val="00174DD5"/>
    <w:rsid w:val="001755AE"/>
    <w:rsid w:val="001763FC"/>
    <w:rsid w:val="00176A05"/>
    <w:rsid w:val="00177019"/>
    <w:rsid w:val="0018121D"/>
    <w:rsid w:val="0018172E"/>
    <w:rsid w:val="00182317"/>
    <w:rsid w:val="0018299F"/>
    <w:rsid w:val="00182CAD"/>
    <w:rsid w:val="00183187"/>
    <w:rsid w:val="0018320D"/>
    <w:rsid w:val="001833A9"/>
    <w:rsid w:val="0018379C"/>
    <w:rsid w:val="0018522A"/>
    <w:rsid w:val="00186288"/>
    <w:rsid w:val="001862DA"/>
    <w:rsid w:val="001865C8"/>
    <w:rsid w:val="00186968"/>
    <w:rsid w:val="00186AA7"/>
    <w:rsid w:val="00186CAF"/>
    <w:rsid w:val="00186F43"/>
    <w:rsid w:val="00187947"/>
    <w:rsid w:val="001902CF"/>
    <w:rsid w:val="0019033B"/>
    <w:rsid w:val="00190527"/>
    <w:rsid w:val="0019092C"/>
    <w:rsid w:val="0019097B"/>
    <w:rsid w:val="00190CCD"/>
    <w:rsid w:val="00190D1D"/>
    <w:rsid w:val="00191C40"/>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D0B"/>
    <w:rsid w:val="001A0E38"/>
    <w:rsid w:val="001A1195"/>
    <w:rsid w:val="001A1CE6"/>
    <w:rsid w:val="001A23A7"/>
    <w:rsid w:val="001A2B8A"/>
    <w:rsid w:val="001A2F08"/>
    <w:rsid w:val="001A492F"/>
    <w:rsid w:val="001A4E12"/>
    <w:rsid w:val="001A6E3E"/>
    <w:rsid w:val="001A7731"/>
    <w:rsid w:val="001A7C55"/>
    <w:rsid w:val="001B0A81"/>
    <w:rsid w:val="001B0C11"/>
    <w:rsid w:val="001B0C26"/>
    <w:rsid w:val="001B409E"/>
    <w:rsid w:val="001B4B7C"/>
    <w:rsid w:val="001B500F"/>
    <w:rsid w:val="001B5342"/>
    <w:rsid w:val="001B591A"/>
    <w:rsid w:val="001B5EDB"/>
    <w:rsid w:val="001B5F18"/>
    <w:rsid w:val="001B6C33"/>
    <w:rsid w:val="001B6D0B"/>
    <w:rsid w:val="001C0721"/>
    <w:rsid w:val="001C262B"/>
    <w:rsid w:val="001C2A81"/>
    <w:rsid w:val="001C2CAE"/>
    <w:rsid w:val="001C2D5C"/>
    <w:rsid w:val="001C30A9"/>
    <w:rsid w:val="001C3C4D"/>
    <w:rsid w:val="001C3F34"/>
    <w:rsid w:val="001C4A1E"/>
    <w:rsid w:val="001C4B6A"/>
    <w:rsid w:val="001C4E24"/>
    <w:rsid w:val="001C54FF"/>
    <w:rsid w:val="001C5E3F"/>
    <w:rsid w:val="001C6521"/>
    <w:rsid w:val="001C6B4E"/>
    <w:rsid w:val="001C7F2A"/>
    <w:rsid w:val="001D007E"/>
    <w:rsid w:val="001D06DF"/>
    <w:rsid w:val="001D0F15"/>
    <w:rsid w:val="001D1BFE"/>
    <w:rsid w:val="001D27DD"/>
    <w:rsid w:val="001D2985"/>
    <w:rsid w:val="001D299B"/>
    <w:rsid w:val="001D2C22"/>
    <w:rsid w:val="001D2D3D"/>
    <w:rsid w:val="001D3F46"/>
    <w:rsid w:val="001D4B35"/>
    <w:rsid w:val="001D4EEF"/>
    <w:rsid w:val="001D5032"/>
    <w:rsid w:val="001D52D0"/>
    <w:rsid w:val="001D6315"/>
    <w:rsid w:val="001D665D"/>
    <w:rsid w:val="001D69F0"/>
    <w:rsid w:val="001D6EB5"/>
    <w:rsid w:val="001D7676"/>
    <w:rsid w:val="001E00C5"/>
    <w:rsid w:val="001E01A9"/>
    <w:rsid w:val="001E01C7"/>
    <w:rsid w:val="001E0642"/>
    <w:rsid w:val="001E1202"/>
    <w:rsid w:val="001E1685"/>
    <w:rsid w:val="001E196B"/>
    <w:rsid w:val="001E2038"/>
    <w:rsid w:val="001E361F"/>
    <w:rsid w:val="001E4112"/>
    <w:rsid w:val="001E42F9"/>
    <w:rsid w:val="001E444F"/>
    <w:rsid w:val="001E49C4"/>
    <w:rsid w:val="001E594F"/>
    <w:rsid w:val="001E5BD2"/>
    <w:rsid w:val="001E5E4F"/>
    <w:rsid w:val="001E6B42"/>
    <w:rsid w:val="001E6C0B"/>
    <w:rsid w:val="001E6FF3"/>
    <w:rsid w:val="001F0B1A"/>
    <w:rsid w:val="001F1227"/>
    <w:rsid w:val="001F16E7"/>
    <w:rsid w:val="001F224A"/>
    <w:rsid w:val="001F321D"/>
    <w:rsid w:val="001F3538"/>
    <w:rsid w:val="001F36A7"/>
    <w:rsid w:val="001F3A9D"/>
    <w:rsid w:val="001F40A7"/>
    <w:rsid w:val="001F428F"/>
    <w:rsid w:val="001F44D4"/>
    <w:rsid w:val="001F4C4A"/>
    <w:rsid w:val="001F62F7"/>
    <w:rsid w:val="00201035"/>
    <w:rsid w:val="00201BE0"/>
    <w:rsid w:val="0020307D"/>
    <w:rsid w:val="00203669"/>
    <w:rsid w:val="00203E23"/>
    <w:rsid w:val="00203E47"/>
    <w:rsid w:val="00204DB4"/>
    <w:rsid w:val="0020504D"/>
    <w:rsid w:val="00205CC0"/>
    <w:rsid w:val="00205E07"/>
    <w:rsid w:val="00205EB7"/>
    <w:rsid w:val="002060EF"/>
    <w:rsid w:val="002062CF"/>
    <w:rsid w:val="002062F9"/>
    <w:rsid w:val="002065A6"/>
    <w:rsid w:val="00206761"/>
    <w:rsid w:val="00206B96"/>
    <w:rsid w:val="00207014"/>
    <w:rsid w:val="0020729A"/>
    <w:rsid w:val="002103B2"/>
    <w:rsid w:val="00210731"/>
    <w:rsid w:val="00210D38"/>
    <w:rsid w:val="00210E07"/>
    <w:rsid w:val="0021106A"/>
    <w:rsid w:val="0021114F"/>
    <w:rsid w:val="00211598"/>
    <w:rsid w:val="00211AA2"/>
    <w:rsid w:val="00211EAC"/>
    <w:rsid w:val="00212225"/>
    <w:rsid w:val="00212CAF"/>
    <w:rsid w:val="00212FA5"/>
    <w:rsid w:val="002132A5"/>
    <w:rsid w:val="00214A8A"/>
    <w:rsid w:val="0021512C"/>
    <w:rsid w:val="00215243"/>
    <w:rsid w:val="00215C6F"/>
    <w:rsid w:val="002167C5"/>
    <w:rsid w:val="00216839"/>
    <w:rsid w:val="00217011"/>
    <w:rsid w:val="002177C8"/>
    <w:rsid w:val="00217E25"/>
    <w:rsid w:val="00220147"/>
    <w:rsid w:val="002201D2"/>
    <w:rsid w:val="00220926"/>
    <w:rsid w:val="00220B81"/>
    <w:rsid w:val="00221A02"/>
    <w:rsid w:val="0022225D"/>
    <w:rsid w:val="002227B7"/>
    <w:rsid w:val="0022379F"/>
    <w:rsid w:val="00223803"/>
    <w:rsid w:val="002238C9"/>
    <w:rsid w:val="00223B2A"/>
    <w:rsid w:val="00223B53"/>
    <w:rsid w:val="002243E8"/>
    <w:rsid w:val="00224908"/>
    <w:rsid w:val="0022577E"/>
    <w:rsid w:val="00225830"/>
    <w:rsid w:val="00225E51"/>
    <w:rsid w:val="00225F2C"/>
    <w:rsid w:val="0022681B"/>
    <w:rsid w:val="00226847"/>
    <w:rsid w:val="002270C1"/>
    <w:rsid w:val="00230354"/>
    <w:rsid w:val="00230403"/>
    <w:rsid w:val="00230586"/>
    <w:rsid w:val="0023077F"/>
    <w:rsid w:val="00230A2B"/>
    <w:rsid w:val="002317B9"/>
    <w:rsid w:val="002319DE"/>
    <w:rsid w:val="00231E5B"/>
    <w:rsid w:val="00232169"/>
    <w:rsid w:val="0023224E"/>
    <w:rsid w:val="002323CD"/>
    <w:rsid w:val="002337C7"/>
    <w:rsid w:val="00233CA7"/>
    <w:rsid w:val="00233CDC"/>
    <w:rsid w:val="0023406B"/>
    <w:rsid w:val="002340B7"/>
    <w:rsid w:val="002340E5"/>
    <w:rsid w:val="0023525F"/>
    <w:rsid w:val="00236B24"/>
    <w:rsid w:val="00237942"/>
    <w:rsid w:val="002413B5"/>
    <w:rsid w:val="002415D1"/>
    <w:rsid w:val="00242110"/>
    <w:rsid w:val="00242531"/>
    <w:rsid w:val="0024265C"/>
    <w:rsid w:val="002428FF"/>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6898"/>
    <w:rsid w:val="00256ADD"/>
    <w:rsid w:val="00257343"/>
    <w:rsid w:val="00257B8E"/>
    <w:rsid w:val="00257C94"/>
    <w:rsid w:val="00257FC6"/>
    <w:rsid w:val="00260063"/>
    <w:rsid w:val="0026135B"/>
    <w:rsid w:val="00261A7C"/>
    <w:rsid w:val="0026311D"/>
    <w:rsid w:val="002633FE"/>
    <w:rsid w:val="002636F5"/>
    <w:rsid w:val="00264157"/>
    <w:rsid w:val="00264B65"/>
    <w:rsid w:val="0026517F"/>
    <w:rsid w:val="00265301"/>
    <w:rsid w:val="00265402"/>
    <w:rsid w:val="002672F6"/>
    <w:rsid w:val="00267BD7"/>
    <w:rsid w:val="00270AF9"/>
    <w:rsid w:val="00270E66"/>
    <w:rsid w:val="0027105D"/>
    <w:rsid w:val="00271CF2"/>
    <w:rsid w:val="0027203C"/>
    <w:rsid w:val="0027224E"/>
    <w:rsid w:val="00272393"/>
    <w:rsid w:val="00274098"/>
    <w:rsid w:val="002740AE"/>
    <w:rsid w:val="002741DA"/>
    <w:rsid w:val="00274269"/>
    <w:rsid w:val="00274536"/>
    <w:rsid w:val="002746B1"/>
    <w:rsid w:val="002746CF"/>
    <w:rsid w:val="00274EFB"/>
    <w:rsid w:val="00274F4E"/>
    <w:rsid w:val="0027559F"/>
    <w:rsid w:val="00275EB0"/>
    <w:rsid w:val="00276288"/>
    <w:rsid w:val="00276485"/>
    <w:rsid w:val="00277855"/>
    <w:rsid w:val="0028006C"/>
    <w:rsid w:val="00280A0B"/>
    <w:rsid w:val="0028191D"/>
    <w:rsid w:val="0028226F"/>
    <w:rsid w:val="00282505"/>
    <w:rsid w:val="0028294A"/>
    <w:rsid w:val="002829D8"/>
    <w:rsid w:val="0028382F"/>
    <w:rsid w:val="00283BA3"/>
    <w:rsid w:val="00283CB6"/>
    <w:rsid w:val="00284371"/>
    <w:rsid w:val="002843C9"/>
    <w:rsid w:val="00286563"/>
    <w:rsid w:val="002866C8"/>
    <w:rsid w:val="00287183"/>
    <w:rsid w:val="00290152"/>
    <w:rsid w:val="00290744"/>
    <w:rsid w:val="002907AA"/>
    <w:rsid w:val="002907C3"/>
    <w:rsid w:val="00290FFF"/>
    <w:rsid w:val="002918E6"/>
    <w:rsid w:val="002919E4"/>
    <w:rsid w:val="00291BCD"/>
    <w:rsid w:val="00291FBB"/>
    <w:rsid w:val="002920F3"/>
    <w:rsid w:val="002923A4"/>
    <w:rsid w:val="00292E26"/>
    <w:rsid w:val="0029355F"/>
    <w:rsid w:val="00293D6D"/>
    <w:rsid w:val="00296973"/>
    <w:rsid w:val="00296F9C"/>
    <w:rsid w:val="002974AE"/>
    <w:rsid w:val="002975BF"/>
    <w:rsid w:val="0029775F"/>
    <w:rsid w:val="00297FF4"/>
    <w:rsid w:val="002A0294"/>
    <w:rsid w:val="002A08E6"/>
    <w:rsid w:val="002A12C9"/>
    <w:rsid w:val="002A1778"/>
    <w:rsid w:val="002A254E"/>
    <w:rsid w:val="002A2769"/>
    <w:rsid w:val="002A312B"/>
    <w:rsid w:val="002A33A1"/>
    <w:rsid w:val="002A36AD"/>
    <w:rsid w:val="002A3768"/>
    <w:rsid w:val="002A3AAE"/>
    <w:rsid w:val="002A3E81"/>
    <w:rsid w:val="002A4755"/>
    <w:rsid w:val="002A5191"/>
    <w:rsid w:val="002A5462"/>
    <w:rsid w:val="002A5898"/>
    <w:rsid w:val="002A63C7"/>
    <w:rsid w:val="002A64A9"/>
    <w:rsid w:val="002A6AD0"/>
    <w:rsid w:val="002A6ADD"/>
    <w:rsid w:val="002A6B05"/>
    <w:rsid w:val="002A701A"/>
    <w:rsid w:val="002A7828"/>
    <w:rsid w:val="002B00BB"/>
    <w:rsid w:val="002B01D2"/>
    <w:rsid w:val="002B0452"/>
    <w:rsid w:val="002B0886"/>
    <w:rsid w:val="002B0FF4"/>
    <w:rsid w:val="002B1073"/>
    <w:rsid w:val="002B14FA"/>
    <w:rsid w:val="002B1971"/>
    <w:rsid w:val="002B1ADD"/>
    <w:rsid w:val="002B1F4B"/>
    <w:rsid w:val="002B260C"/>
    <w:rsid w:val="002B2F91"/>
    <w:rsid w:val="002B49DD"/>
    <w:rsid w:val="002B5314"/>
    <w:rsid w:val="002B5CCF"/>
    <w:rsid w:val="002B5DBF"/>
    <w:rsid w:val="002B5ED3"/>
    <w:rsid w:val="002B5F80"/>
    <w:rsid w:val="002B6079"/>
    <w:rsid w:val="002B6114"/>
    <w:rsid w:val="002B6243"/>
    <w:rsid w:val="002B63F8"/>
    <w:rsid w:val="002B6911"/>
    <w:rsid w:val="002B7A4F"/>
    <w:rsid w:val="002B7F49"/>
    <w:rsid w:val="002C0751"/>
    <w:rsid w:val="002C0BC6"/>
    <w:rsid w:val="002C0CF5"/>
    <w:rsid w:val="002C0F7B"/>
    <w:rsid w:val="002C10BA"/>
    <w:rsid w:val="002C12EA"/>
    <w:rsid w:val="002C178E"/>
    <w:rsid w:val="002C17D4"/>
    <w:rsid w:val="002C18F1"/>
    <w:rsid w:val="002C1AAD"/>
    <w:rsid w:val="002C208F"/>
    <w:rsid w:val="002C251D"/>
    <w:rsid w:val="002C2766"/>
    <w:rsid w:val="002C35E9"/>
    <w:rsid w:val="002C39AC"/>
    <w:rsid w:val="002C3AB8"/>
    <w:rsid w:val="002C4C0B"/>
    <w:rsid w:val="002C508C"/>
    <w:rsid w:val="002C5490"/>
    <w:rsid w:val="002C56C2"/>
    <w:rsid w:val="002C5958"/>
    <w:rsid w:val="002C73F5"/>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C33"/>
    <w:rsid w:val="002E5FC7"/>
    <w:rsid w:val="002E6B56"/>
    <w:rsid w:val="002E6BA8"/>
    <w:rsid w:val="002E6E84"/>
    <w:rsid w:val="002E75CA"/>
    <w:rsid w:val="002E7A2B"/>
    <w:rsid w:val="002E7C93"/>
    <w:rsid w:val="002E7D0A"/>
    <w:rsid w:val="002F0302"/>
    <w:rsid w:val="002F049E"/>
    <w:rsid w:val="002F05F2"/>
    <w:rsid w:val="002F0DF0"/>
    <w:rsid w:val="002F0FDB"/>
    <w:rsid w:val="002F1445"/>
    <w:rsid w:val="002F19E3"/>
    <w:rsid w:val="002F1DE6"/>
    <w:rsid w:val="002F343B"/>
    <w:rsid w:val="002F3A1F"/>
    <w:rsid w:val="002F4B85"/>
    <w:rsid w:val="002F5419"/>
    <w:rsid w:val="002F5868"/>
    <w:rsid w:val="002F5AE9"/>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1CF5"/>
    <w:rsid w:val="00302338"/>
    <w:rsid w:val="00302940"/>
    <w:rsid w:val="00302945"/>
    <w:rsid w:val="003054E4"/>
    <w:rsid w:val="00305CF1"/>
    <w:rsid w:val="00305E46"/>
    <w:rsid w:val="0030600F"/>
    <w:rsid w:val="00306037"/>
    <w:rsid w:val="003072CE"/>
    <w:rsid w:val="00307483"/>
    <w:rsid w:val="0030773B"/>
    <w:rsid w:val="00307832"/>
    <w:rsid w:val="00310607"/>
    <w:rsid w:val="003109CF"/>
    <w:rsid w:val="00310C6E"/>
    <w:rsid w:val="00311886"/>
    <w:rsid w:val="003132E9"/>
    <w:rsid w:val="003135F1"/>
    <w:rsid w:val="00314282"/>
    <w:rsid w:val="003142FB"/>
    <w:rsid w:val="00314666"/>
    <w:rsid w:val="0031490E"/>
    <w:rsid w:val="003149CC"/>
    <w:rsid w:val="00314B40"/>
    <w:rsid w:val="003162E0"/>
    <w:rsid w:val="003167FE"/>
    <w:rsid w:val="00316DDA"/>
    <w:rsid w:val="00317CA7"/>
    <w:rsid w:val="00320443"/>
    <w:rsid w:val="00320E12"/>
    <w:rsid w:val="0032198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BE"/>
    <w:rsid w:val="00335854"/>
    <w:rsid w:val="003359F0"/>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423C"/>
    <w:rsid w:val="003442B7"/>
    <w:rsid w:val="003446F4"/>
    <w:rsid w:val="00344F18"/>
    <w:rsid w:val="00345543"/>
    <w:rsid w:val="0034672B"/>
    <w:rsid w:val="00347911"/>
    <w:rsid w:val="00347AB5"/>
    <w:rsid w:val="00350038"/>
    <w:rsid w:val="003506D7"/>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525"/>
    <w:rsid w:val="00365297"/>
    <w:rsid w:val="003652C2"/>
    <w:rsid w:val="00365803"/>
    <w:rsid w:val="00367B3A"/>
    <w:rsid w:val="00367F97"/>
    <w:rsid w:val="0037079F"/>
    <w:rsid w:val="00370937"/>
    <w:rsid w:val="003711B6"/>
    <w:rsid w:val="003718DE"/>
    <w:rsid w:val="003719BA"/>
    <w:rsid w:val="0037210D"/>
    <w:rsid w:val="003721A3"/>
    <w:rsid w:val="00372238"/>
    <w:rsid w:val="0037274F"/>
    <w:rsid w:val="00373A0C"/>
    <w:rsid w:val="00373F29"/>
    <w:rsid w:val="003759B4"/>
    <w:rsid w:val="00375B43"/>
    <w:rsid w:val="00376A04"/>
    <w:rsid w:val="00376C05"/>
    <w:rsid w:val="003773F3"/>
    <w:rsid w:val="003779E6"/>
    <w:rsid w:val="00380296"/>
    <w:rsid w:val="00380947"/>
    <w:rsid w:val="00380A7B"/>
    <w:rsid w:val="00380FD8"/>
    <w:rsid w:val="0038119E"/>
    <w:rsid w:val="003811F4"/>
    <w:rsid w:val="00381AF7"/>
    <w:rsid w:val="00382CDA"/>
    <w:rsid w:val="00382EA7"/>
    <w:rsid w:val="00383072"/>
    <w:rsid w:val="00383AAC"/>
    <w:rsid w:val="00383B18"/>
    <w:rsid w:val="00384B11"/>
    <w:rsid w:val="003852CE"/>
    <w:rsid w:val="00385463"/>
    <w:rsid w:val="00385CCE"/>
    <w:rsid w:val="00386132"/>
    <w:rsid w:val="003868EC"/>
    <w:rsid w:val="00386AFD"/>
    <w:rsid w:val="00386D66"/>
    <w:rsid w:val="00387A2B"/>
    <w:rsid w:val="00387DB5"/>
    <w:rsid w:val="00390179"/>
    <w:rsid w:val="00390755"/>
    <w:rsid w:val="00390E42"/>
    <w:rsid w:val="00391B1D"/>
    <w:rsid w:val="00391F0D"/>
    <w:rsid w:val="0039231A"/>
    <w:rsid w:val="00392784"/>
    <w:rsid w:val="00392ABE"/>
    <w:rsid w:val="00392B8C"/>
    <w:rsid w:val="0039300F"/>
    <w:rsid w:val="00393353"/>
    <w:rsid w:val="00393A4A"/>
    <w:rsid w:val="00393B49"/>
    <w:rsid w:val="00394601"/>
    <w:rsid w:val="00394836"/>
    <w:rsid w:val="003951F4"/>
    <w:rsid w:val="0039551F"/>
    <w:rsid w:val="00396FAE"/>
    <w:rsid w:val="003974D9"/>
    <w:rsid w:val="00397774"/>
    <w:rsid w:val="00397BCD"/>
    <w:rsid w:val="003A045B"/>
    <w:rsid w:val="003A047A"/>
    <w:rsid w:val="003A06D4"/>
    <w:rsid w:val="003A0BA7"/>
    <w:rsid w:val="003A139D"/>
    <w:rsid w:val="003A16B9"/>
    <w:rsid w:val="003A1E64"/>
    <w:rsid w:val="003A346D"/>
    <w:rsid w:val="003A364E"/>
    <w:rsid w:val="003A41A3"/>
    <w:rsid w:val="003A44CD"/>
    <w:rsid w:val="003A45A2"/>
    <w:rsid w:val="003A5349"/>
    <w:rsid w:val="003A6270"/>
    <w:rsid w:val="003A6FF8"/>
    <w:rsid w:val="003A721D"/>
    <w:rsid w:val="003A7783"/>
    <w:rsid w:val="003B039C"/>
    <w:rsid w:val="003B18C2"/>
    <w:rsid w:val="003B1A82"/>
    <w:rsid w:val="003B2547"/>
    <w:rsid w:val="003B2D97"/>
    <w:rsid w:val="003B2E6E"/>
    <w:rsid w:val="003B3865"/>
    <w:rsid w:val="003B3A6E"/>
    <w:rsid w:val="003B3D84"/>
    <w:rsid w:val="003B42B9"/>
    <w:rsid w:val="003B44BD"/>
    <w:rsid w:val="003B57F0"/>
    <w:rsid w:val="003B57FF"/>
    <w:rsid w:val="003B5CC3"/>
    <w:rsid w:val="003B5CD6"/>
    <w:rsid w:val="003B6DDB"/>
    <w:rsid w:val="003B7ABF"/>
    <w:rsid w:val="003B7E6D"/>
    <w:rsid w:val="003C06B5"/>
    <w:rsid w:val="003C2328"/>
    <w:rsid w:val="003C25A0"/>
    <w:rsid w:val="003C2E36"/>
    <w:rsid w:val="003C2F64"/>
    <w:rsid w:val="003C3015"/>
    <w:rsid w:val="003C3F5E"/>
    <w:rsid w:val="003C45B9"/>
    <w:rsid w:val="003C47B9"/>
    <w:rsid w:val="003C4C29"/>
    <w:rsid w:val="003C4D8C"/>
    <w:rsid w:val="003C5B64"/>
    <w:rsid w:val="003C5F9D"/>
    <w:rsid w:val="003C6B3F"/>
    <w:rsid w:val="003C7823"/>
    <w:rsid w:val="003D0086"/>
    <w:rsid w:val="003D056F"/>
    <w:rsid w:val="003D0F7F"/>
    <w:rsid w:val="003D136E"/>
    <w:rsid w:val="003D178A"/>
    <w:rsid w:val="003D17BA"/>
    <w:rsid w:val="003D1CE2"/>
    <w:rsid w:val="003D1D86"/>
    <w:rsid w:val="003D27DC"/>
    <w:rsid w:val="003D28AC"/>
    <w:rsid w:val="003D290D"/>
    <w:rsid w:val="003D37E6"/>
    <w:rsid w:val="003D5433"/>
    <w:rsid w:val="003D5A84"/>
    <w:rsid w:val="003D629F"/>
    <w:rsid w:val="003D6376"/>
    <w:rsid w:val="003D637A"/>
    <w:rsid w:val="003D7393"/>
    <w:rsid w:val="003D74B2"/>
    <w:rsid w:val="003D7B37"/>
    <w:rsid w:val="003D7CEF"/>
    <w:rsid w:val="003E047A"/>
    <w:rsid w:val="003E0974"/>
    <w:rsid w:val="003E0D2E"/>
    <w:rsid w:val="003E1171"/>
    <w:rsid w:val="003E1342"/>
    <w:rsid w:val="003E13F2"/>
    <w:rsid w:val="003E1B7C"/>
    <w:rsid w:val="003E1DB8"/>
    <w:rsid w:val="003E2076"/>
    <w:rsid w:val="003E2243"/>
    <w:rsid w:val="003E28A4"/>
    <w:rsid w:val="003E2A13"/>
    <w:rsid w:val="003E2AA4"/>
    <w:rsid w:val="003E2FB1"/>
    <w:rsid w:val="003E45C1"/>
    <w:rsid w:val="003E52F9"/>
    <w:rsid w:val="003E5A05"/>
    <w:rsid w:val="003E61E1"/>
    <w:rsid w:val="003E6557"/>
    <w:rsid w:val="003E74DB"/>
    <w:rsid w:val="003E77E1"/>
    <w:rsid w:val="003F0B02"/>
    <w:rsid w:val="003F0EEC"/>
    <w:rsid w:val="003F1197"/>
    <w:rsid w:val="003F17AD"/>
    <w:rsid w:val="003F1B59"/>
    <w:rsid w:val="003F2934"/>
    <w:rsid w:val="003F2E1D"/>
    <w:rsid w:val="003F3B3D"/>
    <w:rsid w:val="003F4088"/>
    <w:rsid w:val="003F4988"/>
    <w:rsid w:val="003F4A02"/>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33CD"/>
    <w:rsid w:val="004045C6"/>
    <w:rsid w:val="00404D97"/>
    <w:rsid w:val="00405A78"/>
    <w:rsid w:val="00405A7D"/>
    <w:rsid w:val="00406289"/>
    <w:rsid w:val="0040685A"/>
    <w:rsid w:val="0040771B"/>
    <w:rsid w:val="00407A13"/>
    <w:rsid w:val="00407A16"/>
    <w:rsid w:val="00407A1B"/>
    <w:rsid w:val="00407CC6"/>
    <w:rsid w:val="0041049E"/>
    <w:rsid w:val="00410CAB"/>
    <w:rsid w:val="00410E3F"/>
    <w:rsid w:val="0041169F"/>
    <w:rsid w:val="0041193C"/>
    <w:rsid w:val="00411B16"/>
    <w:rsid w:val="00411B86"/>
    <w:rsid w:val="00411CBF"/>
    <w:rsid w:val="00411F5D"/>
    <w:rsid w:val="004122CC"/>
    <w:rsid w:val="0041245F"/>
    <w:rsid w:val="0041266D"/>
    <w:rsid w:val="0041289F"/>
    <w:rsid w:val="004139CE"/>
    <w:rsid w:val="00413BE8"/>
    <w:rsid w:val="00413C6C"/>
    <w:rsid w:val="004145E9"/>
    <w:rsid w:val="0041496A"/>
    <w:rsid w:val="00414D72"/>
    <w:rsid w:val="00415057"/>
    <w:rsid w:val="00415417"/>
    <w:rsid w:val="00415492"/>
    <w:rsid w:val="0041586A"/>
    <w:rsid w:val="00415A6E"/>
    <w:rsid w:val="00417690"/>
    <w:rsid w:val="00417901"/>
    <w:rsid w:val="00417A7D"/>
    <w:rsid w:val="00417B1D"/>
    <w:rsid w:val="00417F08"/>
    <w:rsid w:val="004200D6"/>
    <w:rsid w:val="00420B18"/>
    <w:rsid w:val="00420FD7"/>
    <w:rsid w:val="00421E3F"/>
    <w:rsid w:val="00422199"/>
    <w:rsid w:val="00422844"/>
    <w:rsid w:val="004233D3"/>
    <w:rsid w:val="004246BC"/>
    <w:rsid w:val="004250F7"/>
    <w:rsid w:val="00425115"/>
    <w:rsid w:val="004256B4"/>
    <w:rsid w:val="00425A4F"/>
    <w:rsid w:val="00426138"/>
    <w:rsid w:val="0042676E"/>
    <w:rsid w:val="00427848"/>
    <w:rsid w:val="004278F3"/>
    <w:rsid w:val="00430A99"/>
    <w:rsid w:val="004313CF"/>
    <w:rsid w:val="00431689"/>
    <w:rsid w:val="00431742"/>
    <w:rsid w:val="004318FC"/>
    <w:rsid w:val="00431A21"/>
    <w:rsid w:val="00431BBF"/>
    <w:rsid w:val="00431DE5"/>
    <w:rsid w:val="0043223C"/>
    <w:rsid w:val="00432D39"/>
    <w:rsid w:val="00432ECC"/>
    <w:rsid w:val="004332E8"/>
    <w:rsid w:val="0043378D"/>
    <w:rsid w:val="00433A08"/>
    <w:rsid w:val="00433A36"/>
    <w:rsid w:val="00434908"/>
    <w:rsid w:val="00434A7C"/>
    <w:rsid w:val="00434A8A"/>
    <w:rsid w:val="00434EDA"/>
    <w:rsid w:val="00435358"/>
    <w:rsid w:val="00435730"/>
    <w:rsid w:val="00435AE7"/>
    <w:rsid w:val="00436E5C"/>
    <w:rsid w:val="00436F4B"/>
    <w:rsid w:val="004378FF"/>
    <w:rsid w:val="004379BA"/>
    <w:rsid w:val="00437C4B"/>
    <w:rsid w:val="00437E19"/>
    <w:rsid w:val="00440C51"/>
    <w:rsid w:val="0044157C"/>
    <w:rsid w:val="00441A52"/>
    <w:rsid w:val="00442042"/>
    <w:rsid w:val="0044253E"/>
    <w:rsid w:val="0044270A"/>
    <w:rsid w:val="00442A4E"/>
    <w:rsid w:val="00442B25"/>
    <w:rsid w:val="00442D8E"/>
    <w:rsid w:val="00443DA6"/>
    <w:rsid w:val="0044438E"/>
    <w:rsid w:val="004446F2"/>
    <w:rsid w:val="00444C0A"/>
    <w:rsid w:val="00445408"/>
    <w:rsid w:val="00445B1E"/>
    <w:rsid w:val="00446349"/>
    <w:rsid w:val="004478E5"/>
    <w:rsid w:val="00447AA8"/>
    <w:rsid w:val="00447B5D"/>
    <w:rsid w:val="00450186"/>
    <w:rsid w:val="004508A2"/>
    <w:rsid w:val="0045128A"/>
    <w:rsid w:val="00451652"/>
    <w:rsid w:val="004516B5"/>
    <w:rsid w:val="004528CD"/>
    <w:rsid w:val="00452DE2"/>
    <w:rsid w:val="004531FA"/>
    <w:rsid w:val="00453DF0"/>
    <w:rsid w:val="0045465A"/>
    <w:rsid w:val="00454E17"/>
    <w:rsid w:val="004554C1"/>
    <w:rsid w:val="004556C6"/>
    <w:rsid w:val="00455B80"/>
    <w:rsid w:val="00456123"/>
    <w:rsid w:val="00457F24"/>
    <w:rsid w:val="0046056B"/>
    <w:rsid w:val="004619F1"/>
    <w:rsid w:val="00461DC9"/>
    <w:rsid w:val="0046227B"/>
    <w:rsid w:val="00462775"/>
    <w:rsid w:val="00463094"/>
    <w:rsid w:val="004630F2"/>
    <w:rsid w:val="00463C46"/>
    <w:rsid w:val="00464193"/>
    <w:rsid w:val="00464938"/>
    <w:rsid w:val="00464BEE"/>
    <w:rsid w:val="0046506F"/>
    <w:rsid w:val="00465227"/>
    <w:rsid w:val="00465755"/>
    <w:rsid w:val="004661C2"/>
    <w:rsid w:val="00466615"/>
    <w:rsid w:val="00466681"/>
    <w:rsid w:val="004667D7"/>
    <w:rsid w:val="00466F44"/>
    <w:rsid w:val="00467C9D"/>
    <w:rsid w:val="00467DC5"/>
    <w:rsid w:val="00470640"/>
    <w:rsid w:val="00471181"/>
    <w:rsid w:val="00471F0B"/>
    <w:rsid w:val="0047205F"/>
    <w:rsid w:val="00472304"/>
    <w:rsid w:val="0047245C"/>
    <w:rsid w:val="00472550"/>
    <w:rsid w:val="00472CCD"/>
    <w:rsid w:val="00472F70"/>
    <w:rsid w:val="00473415"/>
    <w:rsid w:val="00474104"/>
    <w:rsid w:val="00474332"/>
    <w:rsid w:val="0047437A"/>
    <w:rsid w:val="0047533B"/>
    <w:rsid w:val="00475504"/>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987"/>
    <w:rsid w:val="00481D1E"/>
    <w:rsid w:val="004820EC"/>
    <w:rsid w:val="00482466"/>
    <w:rsid w:val="00482C5D"/>
    <w:rsid w:val="00483FCE"/>
    <w:rsid w:val="00484441"/>
    <w:rsid w:val="00485FBD"/>
    <w:rsid w:val="004861AF"/>
    <w:rsid w:val="004864E9"/>
    <w:rsid w:val="004866B2"/>
    <w:rsid w:val="00486BE5"/>
    <w:rsid w:val="00486D04"/>
    <w:rsid w:val="00487B71"/>
    <w:rsid w:val="00487E43"/>
    <w:rsid w:val="00490162"/>
    <w:rsid w:val="0049056D"/>
    <w:rsid w:val="0049093F"/>
    <w:rsid w:val="0049121D"/>
    <w:rsid w:val="004914A2"/>
    <w:rsid w:val="004919F6"/>
    <w:rsid w:val="00491BAF"/>
    <w:rsid w:val="00492D37"/>
    <w:rsid w:val="00492F63"/>
    <w:rsid w:val="00493237"/>
    <w:rsid w:val="00495283"/>
    <w:rsid w:val="004954D9"/>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00A"/>
    <w:rsid w:val="004A4183"/>
    <w:rsid w:val="004A495D"/>
    <w:rsid w:val="004A4C3F"/>
    <w:rsid w:val="004A4CAF"/>
    <w:rsid w:val="004A4D00"/>
    <w:rsid w:val="004A5044"/>
    <w:rsid w:val="004A5533"/>
    <w:rsid w:val="004A5DC7"/>
    <w:rsid w:val="004A60F1"/>
    <w:rsid w:val="004A6719"/>
    <w:rsid w:val="004A7A36"/>
    <w:rsid w:val="004A7B0B"/>
    <w:rsid w:val="004A7C46"/>
    <w:rsid w:val="004B0053"/>
    <w:rsid w:val="004B019C"/>
    <w:rsid w:val="004B01C1"/>
    <w:rsid w:val="004B0AAD"/>
    <w:rsid w:val="004B3676"/>
    <w:rsid w:val="004B3699"/>
    <w:rsid w:val="004B37D8"/>
    <w:rsid w:val="004B3CC7"/>
    <w:rsid w:val="004B5A11"/>
    <w:rsid w:val="004B6241"/>
    <w:rsid w:val="004B665E"/>
    <w:rsid w:val="004B684F"/>
    <w:rsid w:val="004B7DE1"/>
    <w:rsid w:val="004C05D5"/>
    <w:rsid w:val="004C07CE"/>
    <w:rsid w:val="004C1433"/>
    <w:rsid w:val="004C15F8"/>
    <w:rsid w:val="004C1678"/>
    <w:rsid w:val="004C23BC"/>
    <w:rsid w:val="004C359D"/>
    <w:rsid w:val="004C3B9D"/>
    <w:rsid w:val="004C4787"/>
    <w:rsid w:val="004C480E"/>
    <w:rsid w:val="004C57A0"/>
    <w:rsid w:val="004C5E94"/>
    <w:rsid w:val="004C66FF"/>
    <w:rsid w:val="004C67BB"/>
    <w:rsid w:val="004C697E"/>
    <w:rsid w:val="004C6FE6"/>
    <w:rsid w:val="004D16B2"/>
    <w:rsid w:val="004D19CB"/>
    <w:rsid w:val="004D1B12"/>
    <w:rsid w:val="004D29E5"/>
    <w:rsid w:val="004D2CF0"/>
    <w:rsid w:val="004D3335"/>
    <w:rsid w:val="004D3F4A"/>
    <w:rsid w:val="004D418F"/>
    <w:rsid w:val="004D41F0"/>
    <w:rsid w:val="004D4479"/>
    <w:rsid w:val="004D49C5"/>
    <w:rsid w:val="004D5353"/>
    <w:rsid w:val="004D5F50"/>
    <w:rsid w:val="004E0148"/>
    <w:rsid w:val="004E06F5"/>
    <w:rsid w:val="004E0C72"/>
    <w:rsid w:val="004E0EF9"/>
    <w:rsid w:val="004E14FD"/>
    <w:rsid w:val="004E1BAE"/>
    <w:rsid w:val="004E2221"/>
    <w:rsid w:val="004E30D9"/>
    <w:rsid w:val="004E348B"/>
    <w:rsid w:val="004E38C2"/>
    <w:rsid w:val="004E473D"/>
    <w:rsid w:val="004E4B26"/>
    <w:rsid w:val="004E4D62"/>
    <w:rsid w:val="004E5281"/>
    <w:rsid w:val="004E5D5D"/>
    <w:rsid w:val="004E5F54"/>
    <w:rsid w:val="004E6336"/>
    <w:rsid w:val="004E680F"/>
    <w:rsid w:val="004E751E"/>
    <w:rsid w:val="004E7846"/>
    <w:rsid w:val="004F05E3"/>
    <w:rsid w:val="004F090B"/>
    <w:rsid w:val="004F0B99"/>
    <w:rsid w:val="004F0EEB"/>
    <w:rsid w:val="004F1388"/>
    <w:rsid w:val="004F2C03"/>
    <w:rsid w:val="004F332D"/>
    <w:rsid w:val="004F378F"/>
    <w:rsid w:val="004F5900"/>
    <w:rsid w:val="004F5DE7"/>
    <w:rsid w:val="004F6185"/>
    <w:rsid w:val="004F658F"/>
    <w:rsid w:val="004F6D20"/>
    <w:rsid w:val="004F7706"/>
    <w:rsid w:val="004F7CD8"/>
    <w:rsid w:val="004F7DE4"/>
    <w:rsid w:val="0050037B"/>
    <w:rsid w:val="00500DBA"/>
    <w:rsid w:val="005013FB"/>
    <w:rsid w:val="00501657"/>
    <w:rsid w:val="00501A1E"/>
    <w:rsid w:val="00501AA2"/>
    <w:rsid w:val="00502399"/>
    <w:rsid w:val="00502F92"/>
    <w:rsid w:val="005032C5"/>
    <w:rsid w:val="0050358F"/>
    <w:rsid w:val="005036C6"/>
    <w:rsid w:val="005037C5"/>
    <w:rsid w:val="00503DCA"/>
    <w:rsid w:val="005044BF"/>
    <w:rsid w:val="00505391"/>
    <w:rsid w:val="00505919"/>
    <w:rsid w:val="00505A63"/>
    <w:rsid w:val="00505B9A"/>
    <w:rsid w:val="005062DF"/>
    <w:rsid w:val="005062F5"/>
    <w:rsid w:val="005070C4"/>
    <w:rsid w:val="00507DBA"/>
    <w:rsid w:val="00507E33"/>
    <w:rsid w:val="005108CF"/>
    <w:rsid w:val="00510EFD"/>
    <w:rsid w:val="00510FB0"/>
    <w:rsid w:val="00511471"/>
    <w:rsid w:val="0051220D"/>
    <w:rsid w:val="005126E3"/>
    <w:rsid w:val="00512D66"/>
    <w:rsid w:val="00513FF8"/>
    <w:rsid w:val="005144D4"/>
    <w:rsid w:val="005147E8"/>
    <w:rsid w:val="005149D0"/>
    <w:rsid w:val="005150B5"/>
    <w:rsid w:val="00515780"/>
    <w:rsid w:val="0051697F"/>
    <w:rsid w:val="00517155"/>
    <w:rsid w:val="005176D9"/>
    <w:rsid w:val="0051780E"/>
    <w:rsid w:val="005179C1"/>
    <w:rsid w:val="005202BA"/>
    <w:rsid w:val="005206A6"/>
    <w:rsid w:val="00520C10"/>
    <w:rsid w:val="00521AF0"/>
    <w:rsid w:val="00521C1F"/>
    <w:rsid w:val="00522A4C"/>
    <w:rsid w:val="00523073"/>
    <w:rsid w:val="00523097"/>
    <w:rsid w:val="005230A0"/>
    <w:rsid w:val="005232C9"/>
    <w:rsid w:val="00523D6B"/>
    <w:rsid w:val="0052439D"/>
    <w:rsid w:val="0052450D"/>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466"/>
    <w:rsid w:val="00532FEE"/>
    <w:rsid w:val="005336E1"/>
    <w:rsid w:val="0053399D"/>
    <w:rsid w:val="00533AB9"/>
    <w:rsid w:val="00533C25"/>
    <w:rsid w:val="00533C8A"/>
    <w:rsid w:val="00533CFE"/>
    <w:rsid w:val="00534302"/>
    <w:rsid w:val="005346DC"/>
    <w:rsid w:val="005353B1"/>
    <w:rsid w:val="005356CF"/>
    <w:rsid w:val="00536025"/>
    <w:rsid w:val="00536CE2"/>
    <w:rsid w:val="0053717B"/>
    <w:rsid w:val="0053770B"/>
    <w:rsid w:val="00537B45"/>
    <w:rsid w:val="005407EF"/>
    <w:rsid w:val="00540A78"/>
    <w:rsid w:val="00540BF1"/>
    <w:rsid w:val="00542118"/>
    <w:rsid w:val="0054244B"/>
    <w:rsid w:val="005426DD"/>
    <w:rsid w:val="00542D7A"/>
    <w:rsid w:val="005430A3"/>
    <w:rsid w:val="00543C57"/>
    <w:rsid w:val="00543CBE"/>
    <w:rsid w:val="00543E8F"/>
    <w:rsid w:val="00545BA6"/>
    <w:rsid w:val="005469BF"/>
    <w:rsid w:val="00547BAB"/>
    <w:rsid w:val="00547CAD"/>
    <w:rsid w:val="00547EFE"/>
    <w:rsid w:val="00550637"/>
    <w:rsid w:val="00551150"/>
    <w:rsid w:val="005514AB"/>
    <w:rsid w:val="00551BB1"/>
    <w:rsid w:val="005520CF"/>
    <w:rsid w:val="005523E4"/>
    <w:rsid w:val="0055367F"/>
    <w:rsid w:val="005537F1"/>
    <w:rsid w:val="00553AC1"/>
    <w:rsid w:val="0055461F"/>
    <w:rsid w:val="0055602C"/>
    <w:rsid w:val="00556113"/>
    <w:rsid w:val="0055667E"/>
    <w:rsid w:val="00557226"/>
    <w:rsid w:val="005573D0"/>
    <w:rsid w:val="0055752E"/>
    <w:rsid w:val="005606ED"/>
    <w:rsid w:val="0056092C"/>
    <w:rsid w:val="00560E9D"/>
    <w:rsid w:val="00561F15"/>
    <w:rsid w:val="00561F74"/>
    <w:rsid w:val="00562105"/>
    <w:rsid w:val="00562694"/>
    <w:rsid w:val="00562F21"/>
    <w:rsid w:val="005631CC"/>
    <w:rsid w:val="00564147"/>
    <w:rsid w:val="00564809"/>
    <w:rsid w:val="00564D16"/>
    <w:rsid w:val="005659C4"/>
    <w:rsid w:val="005664F9"/>
    <w:rsid w:val="0056674B"/>
    <w:rsid w:val="00566DF9"/>
    <w:rsid w:val="00566F5A"/>
    <w:rsid w:val="005672B1"/>
    <w:rsid w:val="005673C9"/>
    <w:rsid w:val="00567CDB"/>
    <w:rsid w:val="00567FA5"/>
    <w:rsid w:val="00570594"/>
    <w:rsid w:val="005705E1"/>
    <w:rsid w:val="0057061E"/>
    <w:rsid w:val="005707D4"/>
    <w:rsid w:val="00573971"/>
    <w:rsid w:val="00573C0E"/>
    <w:rsid w:val="00573D82"/>
    <w:rsid w:val="00573E9B"/>
    <w:rsid w:val="00575212"/>
    <w:rsid w:val="00575EDC"/>
    <w:rsid w:val="00575F79"/>
    <w:rsid w:val="00576535"/>
    <w:rsid w:val="00576606"/>
    <w:rsid w:val="00576E21"/>
    <w:rsid w:val="005773FA"/>
    <w:rsid w:val="00577699"/>
    <w:rsid w:val="005779D1"/>
    <w:rsid w:val="00577FA2"/>
    <w:rsid w:val="00580928"/>
    <w:rsid w:val="00580BB8"/>
    <w:rsid w:val="00582812"/>
    <w:rsid w:val="00582D24"/>
    <w:rsid w:val="00582E1E"/>
    <w:rsid w:val="00583B51"/>
    <w:rsid w:val="00583E1C"/>
    <w:rsid w:val="00584407"/>
    <w:rsid w:val="00585219"/>
    <w:rsid w:val="005856A5"/>
    <w:rsid w:val="005859AF"/>
    <w:rsid w:val="005860EB"/>
    <w:rsid w:val="005877FF"/>
    <w:rsid w:val="0058780F"/>
    <w:rsid w:val="00587DBD"/>
    <w:rsid w:val="00587F19"/>
    <w:rsid w:val="0059099C"/>
    <w:rsid w:val="0059108A"/>
    <w:rsid w:val="00591BFF"/>
    <w:rsid w:val="00591DCD"/>
    <w:rsid w:val="005921B1"/>
    <w:rsid w:val="005922CC"/>
    <w:rsid w:val="005924D3"/>
    <w:rsid w:val="00593438"/>
    <w:rsid w:val="00593857"/>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AF"/>
    <w:rsid w:val="005A0900"/>
    <w:rsid w:val="005A0907"/>
    <w:rsid w:val="005A0BB9"/>
    <w:rsid w:val="005A10C1"/>
    <w:rsid w:val="005A160B"/>
    <w:rsid w:val="005A1D18"/>
    <w:rsid w:val="005A2087"/>
    <w:rsid w:val="005A315A"/>
    <w:rsid w:val="005A3C0E"/>
    <w:rsid w:val="005A4398"/>
    <w:rsid w:val="005A4774"/>
    <w:rsid w:val="005A519E"/>
    <w:rsid w:val="005A54E4"/>
    <w:rsid w:val="005A5C54"/>
    <w:rsid w:val="005A656C"/>
    <w:rsid w:val="005A6892"/>
    <w:rsid w:val="005A6FB5"/>
    <w:rsid w:val="005A7AC4"/>
    <w:rsid w:val="005B0467"/>
    <w:rsid w:val="005B07A5"/>
    <w:rsid w:val="005B094B"/>
    <w:rsid w:val="005B0AA6"/>
    <w:rsid w:val="005B10E0"/>
    <w:rsid w:val="005B2E06"/>
    <w:rsid w:val="005B2E6A"/>
    <w:rsid w:val="005B3707"/>
    <w:rsid w:val="005B4B1F"/>
    <w:rsid w:val="005B587D"/>
    <w:rsid w:val="005B665B"/>
    <w:rsid w:val="005B6E64"/>
    <w:rsid w:val="005B7594"/>
    <w:rsid w:val="005C081E"/>
    <w:rsid w:val="005C0DD3"/>
    <w:rsid w:val="005C145B"/>
    <w:rsid w:val="005C1915"/>
    <w:rsid w:val="005C2773"/>
    <w:rsid w:val="005C2933"/>
    <w:rsid w:val="005C2AA9"/>
    <w:rsid w:val="005C2FDD"/>
    <w:rsid w:val="005C31CF"/>
    <w:rsid w:val="005C334D"/>
    <w:rsid w:val="005C4103"/>
    <w:rsid w:val="005C4885"/>
    <w:rsid w:val="005C4B21"/>
    <w:rsid w:val="005C4E97"/>
    <w:rsid w:val="005C52F7"/>
    <w:rsid w:val="005C562D"/>
    <w:rsid w:val="005C5902"/>
    <w:rsid w:val="005C5D01"/>
    <w:rsid w:val="005C5E55"/>
    <w:rsid w:val="005C6178"/>
    <w:rsid w:val="005C6A1C"/>
    <w:rsid w:val="005C6F5C"/>
    <w:rsid w:val="005C6F80"/>
    <w:rsid w:val="005C7A2B"/>
    <w:rsid w:val="005C7D8E"/>
    <w:rsid w:val="005C7F87"/>
    <w:rsid w:val="005D03A6"/>
    <w:rsid w:val="005D0736"/>
    <w:rsid w:val="005D252C"/>
    <w:rsid w:val="005D2554"/>
    <w:rsid w:val="005D3292"/>
    <w:rsid w:val="005D33B9"/>
    <w:rsid w:val="005D3A37"/>
    <w:rsid w:val="005D44AE"/>
    <w:rsid w:val="005D49DF"/>
    <w:rsid w:val="005D56B8"/>
    <w:rsid w:val="005D581B"/>
    <w:rsid w:val="005D592E"/>
    <w:rsid w:val="005D620D"/>
    <w:rsid w:val="005D6D32"/>
    <w:rsid w:val="005D7AD9"/>
    <w:rsid w:val="005E10AB"/>
    <w:rsid w:val="005E15F0"/>
    <w:rsid w:val="005E1A32"/>
    <w:rsid w:val="005E20FF"/>
    <w:rsid w:val="005E25FA"/>
    <w:rsid w:val="005E2673"/>
    <w:rsid w:val="005E2ACB"/>
    <w:rsid w:val="005E2DF2"/>
    <w:rsid w:val="005E32BE"/>
    <w:rsid w:val="005E4337"/>
    <w:rsid w:val="005E4838"/>
    <w:rsid w:val="005E4DC0"/>
    <w:rsid w:val="005E55BD"/>
    <w:rsid w:val="005E67D4"/>
    <w:rsid w:val="005E7B63"/>
    <w:rsid w:val="005F01EC"/>
    <w:rsid w:val="005F046B"/>
    <w:rsid w:val="005F09CD"/>
    <w:rsid w:val="005F15EE"/>
    <w:rsid w:val="005F1B82"/>
    <w:rsid w:val="005F1CD9"/>
    <w:rsid w:val="005F21FF"/>
    <w:rsid w:val="005F2BEC"/>
    <w:rsid w:val="005F2DBC"/>
    <w:rsid w:val="005F2E35"/>
    <w:rsid w:val="005F3557"/>
    <w:rsid w:val="005F3C87"/>
    <w:rsid w:val="005F58E6"/>
    <w:rsid w:val="005F5B65"/>
    <w:rsid w:val="005F62DC"/>
    <w:rsid w:val="005F6811"/>
    <w:rsid w:val="00600490"/>
    <w:rsid w:val="006008AE"/>
    <w:rsid w:val="00601C18"/>
    <w:rsid w:val="00602A51"/>
    <w:rsid w:val="006030EA"/>
    <w:rsid w:val="00603DDD"/>
    <w:rsid w:val="00603EEF"/>
    <w:rsid w:val="006045A6"/>
    <w:rsid w:val="00604818"/>
    <w:rsid w:val="006058A6"/>
    <w:rsid w:val="00606096"/>
    <w:rsid w:val="006064C5"/>
    <w:rsid w:val="006066CB"/>
    <w:rsid w:val="0060686E"/>
    <w:rsid w:val="00607721"/>
    <w:rsid w:val="00607A91"/>
    <w:rsid w:val="00610010"/>
    <w:rsid w:val="00610E14"/>
    <w:rsid w:val="00611291"/>
    <w:rsid w:val="0061166F"/>
    <w:rsid w:val="006119AC"/>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6D10"/>
    <w:rsid w:val="00617371"/>
    <w:rsid w:val="00617B42"/>
    <w:rsid w:val="00620285"/>
    <w:rsid w:val="00620A9A"/>
    <w:rsid w:val="0062109D"/>
    <w:rsid w:val="0062142F"/>
    <w:rsid w:val="00621DBA"/>
    <w:rsid w:val="00621E20"/>
    <w:rsid w:val="00621FE3"/>
    <w:rsid w:val="006221C5"/>
    <w:rsid w:val="006231A5"/>
    <w:rsid w:val="0062333C"/>
    <w:rsid w:val="006242B7"/>
    <w:rsid w:val="00624735"/>
    <w:rsid w:val="00625B1E"/>
    <w:rsid w:val="00626C72"/>
    <w:rsid w:val="00626DD0"/>
    <w:rsid w:val="00631126"/>
    <w:rsid w:val="0063127D"/>
    <w:rsid w:val="00631456"/>
    <w:rsid w:val="0063179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9C"/>
    <w:rsid w:val="00642FFB"/>
    <w:rsid w:val="00643010"/>
    <w:rsid w:val="00643043"/>
    <w:rsid w:val="006438C7"/>
    <w:rsid w:val="00643A61"/>
    <w:rsid w:val="00643BC5"/>
    <w:rsid w:val="00644042"/>
    <w:rsid w:val="00644981"/>
    <w:rsid w:val="00644B5E"/>
    <w:rsid w:val="00644EFD"/>
    <w:rsid w:val="0064629B"/>
    <w:rsid w:val="00646303"/>
    <w:rsid w:val="006468E7"/>
    <w:rsid w:val="00646C3D"/>
    <w:rsid w:val="00646D83"/>
    <w:rsid w:val="00650950"/>
    <w:rsid w:val="00651143"/>
    <w:rsid w:val="0065185C"/>
    <w:rsid w:val="00651CB3"/>
    <w:rsid w:val="0065467E"/>
    <w:rsid w:val="006546ED"/>
    <w:rsid w:val="00654C3D"/>
    <w:rsid w:val="00654C60"/>
    <w:rsid w:val="00654DF8"/>
    <w:rsid w:val="006553F6"/>
    <w:rsid w:val="00655F2B"/>
    <w:rsid w:val="0065605A"/>
    <w:rsid w:val="00656311"/>
    <w:rsid w:val="0065649C"/>
    <w:rsid w:val="006564C7"/>
    <w:rsid w:val="00656864"/>
    <w:rsid w:val="00656878"/>
    <w:rsid w:val="00656DD8"/>
    <w:rsid w:val="00657563"/>
    <w:rsid w:val="00660C44"/>
    <w:rsid w:val="00660C97"/>
    <w:rsid w:val="00660D3D"/>
    <w:rsid w:val="00660D5E"/>
    <w:rsid w:val="00660FBB"/>
    <w:rsid w:val="00661B0E"/>
    <w:rsid w:val="00661B43"/>
    <w:rsid w:val="00661B9E"/>
    <w:rsid w:val="00661D72"/>
    <w:rsid w:val="006622AF"/>
    <w:rsid w:val="006622C7"/>
    <w:rsid w:val="006625C8"/>
    <w:rsid w:val="00662C1F"/>
    <w:rsid w:val="00662E04"/>
    <w:rsid w:val="006632FA"/>
    <w:rsid w:val="006636CD"/>
    <w:rsid w:val="0066488A"/>
    <w:rsid w:val="00664E33"/>
    <w:rsid w:val="006657CD"/>
    <w:rsid w:val="00666261"/>
    <w:rsid w:val="006672D8"/>
    <w:rsid w:val="00667EFB"/>
    <w:rsid w:val="00670674"/>
    <w:rsid w:val="00670D98"/>
    <w:rsid w:val="006710C3"/>
    <w:rsid w:val="006712E6"/>
    <w:rsid w:val="00671776"/>
    <w:rsid w:val="00671A5E"/>
    <w:rsid w:val="00671F1A"/>
    <w:rsid w:val="00672059"/>
    <w:rsid w:val="006726A3"/>
    <w:rsid w:val="0067389F"/>
    <w:rsid w:val="00674258"/>
    <w:rsid w:val="00674587"/>
    <w:rsid w:val="00674626"/>
    <w:rsid w:val="00674700"/>
    <w:rsid w:val="006748C8"/>
    <w:rsid w:val="00674B92"/>
    <w:rsid w:val="00675615"/>
    <w:rsid w:val="006768EA"/>
    <w:rsid w:val="00676E80"/>
    <w:rsid w:val="00677265"/>
    <w:rsid w:val="006778CC"/>
    <w:rsid w:val="00677985"/>
    <w:rsid w:val="00677AD8"/>
    <w:rsid w:val="0068024F"/>
    <w:rsid w:val="006802D0"/>
    <w:rsid w:val="00680872"/>
    <w:rsid w:val="00680C3C"/>
    <w:rsid w:val="00680C9A"/>
    <w:rsid w:val="00680E05"/>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979"/>
    <w:rsid w:val="00691DD8"/>
    <w:rsid w:val="006921C4"/>
    <w:rsid w:val="00692798"/>
    <w:rsid w:val="00692EE0"/>
    <w:rsid w:val="00693070"/>
    <w:rsid w:val="00693265"/>
    <w:rsid w:val="00693630"/>
    <w:rsid w:val="00693DF9"/>
    <w:rsid w:val="006955CA"/>
    <w:rsid w:val="00695D00"/>
    <w:rsid w:val="00695D54"/>
    <w:rsid w:val="00696526"/>
    <w:rsid w:val="00696565"/>
    <w:rsid w:val="00696998"/>
    <w:rsid w:val="00696AFB"/>
    <w:rsid w:val="00696DEE"/>
    <w:rsid w:val="00697CCD"/>
    <w:rsid w:val="006A019F"/>
    <w:rsid w:val="006A022E"/>
    <w:rsid w:val="006A09C2"/>
    <w:rsid w:val="006A0B51"/>
    <w:rsid w:val="006A1224"/>
    <w:rsid w:val="006A12E6"/>
    <w:rsid w:val="006A15F0"/>
    <w:rsid w:val="006A1785"/>
    <w:rsid w:val="006A1CC0"/>
    <w:rsid w:val="006A2A34"/>
    <w:rsid w:val="006A2B82"/>
    <w:rsid w:val="006A328B"/>
    <w:rsid w:val="006A35AC"/>
    <w:rsid w:val="006A4A12"/>
    <w:rsid w:val="006A4A7E"/>
    <w:rsid w:val="006A4AB1"/>
    <w:rsid w:val="006A5451"/>
    <w:rsid w:val="006A6BBF"/>
    <w:rsid w:val="006A703D"/>
    <w:rsid w:val="006A768E"/>
    <w:rsid w:val="006A7D6D"/>
    <w:rsid w:val="006B143D"/>
    <w:rsid w:val="006B1765"/>
    <w:rsid w:val="006B1973"/>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B53"/>
    <w:rsid w:val="006C34BC"/>
    <w:rsid w:val="006C3968"/>
    <w:rsid w:val="006C4033"/>
    <w:rsid w:val="006C52FF"/>
    <w:rsid w:val="006C643D"/>
    <w:rsid w:val="006C6D3B"/>
    <w:rsid w:val="006C7434"/>
    <w:rsid w:val="006C745B"/>
    <w:rsid w:val="006D07D7"/>
    <w:rsid w:val="006D1195"/>
    <w:rsid w:val="006D1F41"/>
    <w:rsid w:val="006D2383"/>
    <w:rsid w:val="006D2C0A"/>
    <w:rsid w:val="006D3BB6"/>
    <w:rsid w:val="006D45F9"/>
    <w:rsid w:val="006D46F7"/>
    <w:rsid w:val="006D4DC6"/>
    <w:rsid w:val="006D4E58"/>
    <w:rsid w:val="006D5483"/>
    <w:rsid w:val="006D5C71"/>
    <w:rsid w:val="006D6AA0"/>
    <w:rsid w:val="006D6C12"/>
    <w:rsid w:val="006D6CDB"/>
    <w:rsid w:val="006D72A1"/>
    <w:rsid w:val="006D7750"/>
    <w:rsid w:val="006D7DCC"/>
    <w:rsid w:val="006E0093"/>
    <w:rsid w:val="006E057C"/>
    <w:rsid w:val="006E06AD"/>
    <w:rsid w:val="006E08CE"/>
    <w:rsid w:val="006E08F3"/>
    <w:rsid w:val="006E09E9"/>
    <w:rsid w:val="006E0A61"/>
    <w:rsid w:val="006E0FE0"/>
    <w:rsid w:val="006E127C"/>
    <w:rsid w:val="006E2250"/>
    <w:rsid w:val="006E2BF4"/>
    <w:rsid w:val="006E2C4F"/>
    <w:rsid w:val="006E30F3"/>
    <w:rsid w:val="006E3132"/>
    <w:rsid w:val="006E39DE"/>
    <w:rsid w:val="006E3B9D"/>
    <w:rsid w:val="006E4622"/>
    <w:rsid w:val="006E5149"/>
    <w:rsid w:val="006E5BCB"/>
    <w:rsid w:val="006E5EA0"/>
    <w:rsid w:val="006E5F94"/>
    <w:rsid w:val="006E69AA"/>
    <w:rsid w:val="006E6F66"/>
    <w:rsid w:val="006F06C9"/>
    <w:rsid w:val="006F0C30"/>
    <w:rsid w:val="006F0D9D"/>
    <w:rsid w:val="006F1FBA"/>
    <w:rsid w:val="006F20A2"/>
    <w:rsid w:val="006F231B"/>
    <w:rsid w:val="006F2616"/>
    <w:rsid w:val="006F301A"/>
    <w:rsid w:val="006F323D"/>
    <w:rsid w:val="006F35EF"/>
    <w:rsid w:val="006F3663"/>
    <w:rsid w:val="006F3F5E"/>
    <w:rsid w:val="006F4511"/>
    <w:rsid w:val="006F4698"/>
    <w:rsid w:val="006F4C26"/>
    <w:rsid w:val="006F5178"/>
    <w:rsid w:val="006F5717"/>
    <w:rsid w:val="006F58CE"/>
    <w:rsid w:val="006F62CD"/>
    <w:rsid w:val="006F63B3"/>
    <w:rsid w:val="006F7704"/>
    <w:rsid w:val="006F7847"/>
    <w:rsid w:val="0070006B"/>
    <w:rsid w:val="00700313"/>
    <w:rsid w:val="0070180D"/>
    <w:rsid w:val="0070188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4FC"/>
    <w:rsid w:val="00712DD0"/>
    <w:rsid w:val="00713574"/>
    <w:rsid w:val="00713758"/>
    <w:rsid w:val="00713E28"/>
    <w:rsid w:val="007140D3"/>
    <w:rsid w:val="0071430A"/>
    <w:rsid w:val="007143A6"/>
    <w:rsid w:val="007153AB"/>
    <w:rsid w:val="0071567C"/>
    <w:rsid w:val="007158AA"/>
    <w:rsid w:val="00715CB8"/>
    <w:rsid w:val="007162B8"/>
    <w:rsid w:val="00716901"/>
    <w:rsid w:val="0071774E"/>
    <w:rsid w:val="00717FBB"/>
    <w:rsid w:val="007204B1"/>
    <w:rsid w:val="007204E3"/>
    <w:rsid w:val="007207D8"/>
    <w:rsid w:val="007209BD"/>
    <w:rsid w:val="0072108D"/>
    <w:rsid w:val="00721373"/>
    <w:rsid w:val="007214B1"/>
    <w:rsid w:val="007216A5"/>
    <w:rsid w:val="00721A71"/>
    <w:rsid w:val="00721FD0"/>
    <w:rsid w:val="00722717"/>
    <w:rsid w:val="0072273E"/>
    <w:rsid w:val="00723633"/>
    <w:rsid w:val="00724373"/>
    <w:rsid w:val="007243E2"/>
    <w:rsid w:val="00724477"/>
    <w:rsid w:val="007244DB"/>
    <w:rsid w:val="00724DE2"/>
    <w:rsid w:val="00724E68"/>
    <w:rsid w:val="0072567F"/>
    <w:rsid w:val="00725D0A"/>
    <w:rsid w:val="007263BE"/>
    <w:rsid w:val="007272B5"/>
    <w:rsid w:val="007279D2"/>
    <w:rsid w:val="00730C64"/>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720"/>
    <w:rsid w:val="00737AFA"/>
    <w:rsid w:val="00737B5A"/>
    <w:rsid w:val="00740274"/>
    <w:rsid w:val="0074075C"/>
    <w:rsid w:val="0074111B"/>
    <w:rsid w:val="007413A0"/>
    <w:rsid w:val="007415F6"/>
    <w:rsid w:val="0074177C"/>
    <w:rsid w:val="00742C3C"/>
    <w:rsid w:val="00743082"/>
    <w:rsid w:val="00743090"/>
    <w:rsid w:val="00743630"/>
    <w:rsid w:val="00744C61"/>
    <w:rsid w:val="0074589F"/>
    <w:rsid w:val="0074765E"/>
    <w:rsid w:val="00747FBE"/>
    <w:rsid w:val="0075145C"/>
    <w:rsid w:val="007514B4"/>
    <w:rsid w:val="007521C4"/>
    <w:rsid w:val="007521F4"/>
    <w:rsid w:val="0075252F"/>
    <w:rsid w:val="007526D1"/>
    <w:rsid w:val="00752B3F"/>
    <w:rsid w:val="00752EBA"/>
    <w:rsid w:val="007535EB"/>
    <w:rsid w:val="00755381"/>
    <w:rsid w:val="007557D6"/>
    <w:rsid w:val="00755864"/>
    <w:rsid w:val="0075624A"/>
    <w:rsid w:val="007562B5"/>
    <w:rsid w:val="007562CB"/>
    <w:rsid w:val="00756C59"/>
    <w:rsid w:val="00756D21"/>
    <w:rsid w:val="00757A16"/>
    <w:rsid w:val="007604AE"/>
    <w:rsid w:val="00760975"/>
    <w:rsid w:val="00760B5C"/>
    <w:rsid w:val="00761097"/>
    <w:rsid w:val="007610F2"/>
    <w:rsid w:val="00761B71"/>
    <w:rsid w:val="00762936"/>
    <w:rsid w:val="007629EC"/>
    <w:rsid w:val="00762AB6"/>
    <w:rsid w:val="00762B34"/>
    <w:rsid w:val="00762E6A"/>
    <w:rsid w:val="007631F1"/>
    <w:rsid w:val="00763332"/>
    <w:rsid w:val="007644FE"/>
    <w:rsid w:val="007646C4"/>
    <w:rsid w:val="00764A7C"/>
    <w:rsid w:val="00764EA1"/>
    <w:rsid w:val="007658E7"/>
    <w:rsid w:val="00766343"/>
    <w:rsid w:val="007669BD"/>
    <w:rsid w:val="0076707B"/>
    <w:rsid w:val="007675D7"/>
    <w:rsid w:val="0077019B"/>
    <w:rsid w:val="007711B7"/>
    <w:rsid w:val="0077123F"/>
    <w:rsid w:val="007712C1"/>
    <w:rsid w:val="00772C13"/>
    <w:rsid w:val="00773ED5"/>
    <w:rsid w:val="00774560"/>
    <w:rsid w:val="0077459E"/>
    <w:rsid w:val="007748A1"/>
    <w:rsid w:val="0077490C"/>
    <w:rsid w:val="00774E22"/>
    <w:rsid w:val="00775236"/>
    <w:rsid w:val="0077577F"/>
    <w:rsid w:val="00775B66"/>
    <w:rsid w:val="00776031"/>
    <w:rsid w:val="007762D1"/>
    <w:rsid w:val="0077686F"/>
    <w:rsid w:val="007771C5"/>
    <w:rsid w:val="00777C9A"/>
    <w:rsid w:val="007803EC"/>
    <w:rsid w:val="0078075B"/>
    <w:rsid w:val="007808F5"/>
    <w:rsid w:val="00780A39"/>
    <w:rsid w:val="00780D27"/>
    <w:rsid w:val="00781EF6"/>
    <w:rsid w:val="00781F75"/>
    <w:rsid w:val="00782972"/>
    <w:rsid w:val="00783363"/>
    <w:rsid w:val="00784E84"/>
    <w:rsid w:val="00784FFD"/>
    <w:rsid w:val="00785F93"/>
    <w:rsid w:val="00786D06"/>
    <w:rsid w:val="007872C5"/>
    <w:rsid w:val="0078792B"/>
    <w:rsid w:val="007901BC"/>
    <w:rsid w:val="00790234"/>
    <w:rsid w:val="007908CC"/>
    <w:rsid w:val="007912EA"/>
    <w:rsid w:val="0079150C"/>
    <w:rsid w:val="007919F2"/>
    <w:rsid w:val="00791A1C"/>
    <w:rsid w:val="00791B2C"/>
    <w:rsid w:val="007926B3"/>
    <w:rsid w:val="00792815"/>
    <w:rsid w:val="00793457"/>
    <w:rsid w:val="00793883"/>
    <w:rsid w:val="00793EFB"/>
    <w:rsid w:val="0079576B"/>
    <w:rsid w:val="00795FE0"/>
    <w:rsid w:val="00796763"/>
    <w:rsid w:val="00797639"/>
    <w:rsid w:val="00797724"/>
    <w:rsid w:val="007977AC"/>
    <w:rsid w:val="007A0D06"/>
    <w:rsid w:val="007A2895"/>
    <w:rsid w:val="007A3755"/>
    <w:rsid w:val="007A3DE1"/>
    <w:rsid w:val="007A4994"/>
    <w:rsid w:val="007A4D62"/>
    <w:rsid w:val="007A4DCF"/>
    <w:rsid w:val="007A5D61"/>
    <w:rsid w:val="007A632A"/>
    <w:rsid w:val="007A6D03"/>
    <w:rsid w:val="007A734A"/>
    <w:rsid w:val="007A7385"/>
    <w:rsid w:val="007A7676"/>
    <w:rsid w:val="007A7E57"/>
    <w:rsid w:val="007B1179"/>
    <w:rsid w:val="007B2031"/>
    <w:rsid w:val="007B22D2"/>
    <w:rsid w:val="007B2451"/>
    <w:rsid w:val="007B2802"/>
    <w:rsid w:val="007B40C5"/>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3E67"/>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2F16"/>
    <w:rsid w:val="007D3323"/>
    <w:rsid w:val="007D46EE"/>
    <w:rsid w:val="007D4AF8"/>
    <w:rsid w:val="007D5207"/>
    <w:rsid w:val="007D5D99"/>
    <w:rsid w:val="007D6153"/>
    <w:rsid w:val="007D7CE5"/>
    <w:rsid w:val="007D7D39"/>
    <w:rsid w:val="007E0083"/>
    <w:rsid w:val="007E0513"/>
    <w:rsid w:val="007E0638"/>
    <w:rsid w:val="007E08C8"/>
    <w:rsid w:val="007E0D03"/>
    <w:rsid w:val="007E1D6A"/>
    <w:rsid w:val="007E2660"/>
    <w:rsid w:val="007E28CF"/>
    <w:rsid w:val="007E2A06"/>
    <w:rsid w:val="007E2FA4"/>
    <w:rsid w:val="007E30E3"/>
    <w:rsid w:val="007E3562"/>
    <w:rsid w:val="007E3823"/>
    <w:rsid w:val="007E4138"/>
    <w:rsid w:val="007E5784"/>
    <w:rsid w:val="007E5B38"/>
    <w:rsid w:val="007E619F"/>
    <w:rsid w:val="007E6823"/>
    <w:rsid w:val="007E6B35"/>
    <w:rsid w:val="007E6C12"/>
    <w:rsid w:val="007E76F3"/>
    <w:rsid w:val="007E7855"/>
    <w:rsid w:val="007E7EC0"/>
    <w:rsid w:val="007F198D"/>
    <w:rsid w:val="007F1A6F"/>
    <w:rsid w:val="007F1AAE"/>
    <w:rsid w:val="007F238D"/>
    <w:rsid w:val="007F2CFE"/>
    <w:rsid w:val="007F3885"/>
    <w:rsid w:val="007F3BF4"/>
    <w:rsid w:val="007F5DE0"/>
    <w:rsid w:val="007F5E47"/>
    <w:rsid w:val="007F6395"/>
    <w:rsid w:val="007F7B26"/>
    <w:rsid w:val="0080049F"/>
    <w:rsid w:val="00800D00"/>
    <w:rsid w:val="00800D24"/>
    <w:rsid w:val="00801923"/>
    <w:rsid w:val="0080195A"/>
    <w:rsid w:val="008020BF"/>
    <w:rsid w:val="008022F7"/>
    <w:rsid w:val="00802E61"/>
    <w:rsid w:val="00802FE0"/>
    <w:rsid w:val="00803118"/>
    <w:rsid w:val="00803586"/>
    <w:rsid w:val="00803F1F"/>
    <w:rsid w:val="00804A42"/>
    <w:rsid w:val="00804C87"/>
    <w:rsid w:val="00805A86"/>
    <w:rsid w:val="00805B9D"/>
    <w:rsid w:val="00805E88"/>
    <w:rsid w:val="00805F4B"/>
    <w:rsid w:val="00806ABC"/>
    <w:rsid w:val="00806B56"/>
    <w:rsid w:val="00806FB4"/>
    <w:rsid w:val="008077A8"/>
    <w:rsid w:val="00807A1F"/>
    <w:rsid w:val="0081026E"/>
    <w:rsid w:val="00810861"/>
    <w:rsid w:val="008109D7"/>
    <w:rsid w:val="00810B68"/>
    <w:rsid w:val="00811DFE"/>
    <w:rsid w:val="00811E6A"/>
    <w:rsid w:val="0081283E"/>
    <w:rsid w:val="00812FCC"/>
    <w:rsid w:val="008133B3"/>
    <w:rsid w:val="00813AF9"/>
    <w:rsid w:val="00813C54"/>
    <w:rsid w:val="00814DE1"/>
    <w:rsid w:val="00814EEF"/>
    <w:rsid w:val="00814FF0"/>
    <w:rsid w:val="00815299"/>
    <w:rsid w:val="008154A0"/>
    <w:rsid w:val="008155F8"/>
    <w:rsid w:val="0081567B"/>
    <w:rsid w:val="008162AE"/>
    <w:rsid w:val="0081692D"/>
    <w:rsid w:val="008169D1"/>
    <w:rsid w:val="00816FB8"/>
    <w:rsid w:val="008170C5"/>
    <w:rsid w:val="00820004"/>
    <w:rsid w:val="00820422"/>
    <w:rsid w:val="008212D4"/>
    <w:rsid w:val="00821C5F"/>
    <w:rsid w:val="00821FA9"/>
    <w:rsid w:val="008222CA"/>
    <w:rsid w:val="00822383"/>
    <w:rsid w:val="00822E06"/>
    <w:rsid w:val="0082396C"/>
    <w:rsid w:val="00823FFC"/>
    <w:rsid w:val="008248C4"/>
    <w:rsid w:val="008249AA"/>
    <w:rsid w:val="00825E86"/>
    <w:rsid w:val="00825ECC"/>
    <w:rsid w:val="00826252"/>
    <w:rsid w:val="00826566"/>
    <w:rsid w:val="008265D0"/>
    <w:rsid w:val="0082687F"/>
    <w:rsid w:val="00826DED"/>
    <w:rsid w:val="00827847"/>
    <w:rsid w:val="008302F1"/>
    <w:rsid w:val="008309AA"/>
    <w:rsid w:val="00830B22"/>
    <w:rsid w:val="00830D94"/>
    <w:rsid w:val="00830FE3"/>
    <w:rsid w:val="0083191E"/>
    <w:rsid w:val="00831DEC"/>
    <w:rsid w:val="008327F9"/>
    <w:rsid w:val="00832B33"/>
    <w:rsid w:val="00832B9F"/>
    <w:rsid w:val="0083382A"/>
    <w:rsid w:val="00834907"/>
    <w:rsid w:val="00834A66"/>
    <w:rsid w:val="00834B5A"/>
    <w:rsid w:val="0083609F"/>
    <w:rsid w:val="00837355"/>
    <w:rsid w:val="00837D90"/>
    <w:rsid w:val="00837E7D"/>
    <w:rsid w:val="00837F74"/>
    <w:rsid w:val="0084062F"/>
    <w:rsid w:val="008408A2"/>
    <w:rsid w:val="00840E5D"/>
    <w:rsid w:val="0084119C"/>
    <w:rsid w:val="008411C3"/>
    <w:rsid w:val="00841DBE"/>
    <w:rsid w:val="00841F6C"/>
    <w:rsid w:val="00841FA6"/>
    <w:rsid w:val="00842054"/>
    <w:rsid w:val="0084424D"/>
    <w:rsid w:val="00844BEF"/>
    <w:rsid w:val="00844E7D"/>
    <w:rsid w:val="0084659A"/>
    <w:rsid w:val="00846F23"/>
    <w:rsid w:val="00847415"/>
    <w:rsid w:val="0084741E"/>
    <w:rsid w:val="008477CE"/>
    <w:rsid w:val="00850430"/>
    <w:rsid w:val="008505D8"/>
    <w:rsid w:val="0085068B"/>
    <w:rsid w:val="008508B0"/>
    <w:rsid w:val="00850A15"/>
    <w:rsid w:val="00850F64"/>
    <w:rsid w:val="00852144"/>
    <w:rsid w:val="00852178"/>
    <w:rsid w:val="00852B6C"/>
    <w:rsid w:val="008532B8"/>
    <w:rsid w:val="00854B02"/>
    <w:rsid w:val="008551DC"/>
    <w:rsid w:val="0085550A"/>
    <w:rsid w:val="0085563E"/>
    <w:rsid w:val="00855A25"/>
    <w:rsid w:val="00855C5E"/>
    <w:rsid w:val="00856134"/>
    <w:rsid w:val="008562A9"/>
    <w:rsid w:val="008565DD"/>
    <w:rsid w:val="008573F7"/>
    <w:rsid w:val="00857C19"/>
    <w:rsid w:val="0086043A"/>
    <w:rsid w:val="00860611"/>
    <w:rsid w:val="008608F6"/>
    <w:rsid w:val="00860C4A"/>
    <w:rsid w:val="008611FA"/>
    <w:rsid w:val="0086194F"/>
    <w:rsid w:val="00861B6E"/>
    <w:rsid w:val="0086204B"/>
    <w:rsid w:val="00862926"/>
    <w:rsid w:val="00862F73"/>
    <w:rsid w:val="00862F77"/>
    <w:rsid w:val="00863329"/>
    <w:rsid w:val="00863982"/>
    <w:rsid w:val="00863F06"/>
    <w:rsid w:val="00867B14"/>
    <w:rsid w:val="00867B80"/>
    <w:rsid w:val="00867C3E"/>
    <w:rsid w:val="008701BA"/>
    <w:rsid w:val="0087130C"/>
    <w:rsid w:val="0087210E"/>
    <w:rsid w:val="0087212E"/>
    <w:rsid w:val="0087213F"/>
    <w:rsid w:val="008725B4"/>
    <w:rsid w:val="00872A46"/>
    <w:rsid w:val="00872BB6"/>
    <w:rsid w:val="00875395"/>
    <w:rsid w:val="008754BC"/>
    <w:rsid w:val="00875DB5"/>
    <w:rsid w:val="008773FF"/>
    <w:rsid w:val="00877802"/>
    <w:rsid w:val="00880374"/>
    <w:rsid w:val="008821C2"/>
    <w:rsid w:val="008826BD"/>
    <w:rsid w:val="00882D24"/>
    <w:rsid w:val="00882F34"/>
    <w:rsid w:val="0088381F"/>
    <w:rsid w:val="00883C57"/>
    <w:rsid w:val="0088448A"/>
    <w:rsid w:val="008845D2"/>
    <w:rsid w:val="00885011"/>
    <w:rsid w:val="00885165"/>
    <w:rsid w:val="008855CB"/>
    <w:rsid w:val="00885A48"/>
    <w:rsid w:val="00885C04"/>
    <w:rsid w:val="0088600F"/>
    <w:rsid w:val="008860C3"/>
    <w:rsid w:val="008861B8"/>
    <w:rsid w:val="0088635F"/>
    <w:rsid w:val="00886E91"/>
    <w:rsid w:val="00887266"/>
    <w:rsid w:val="00887912"/>
    <w:rsid w:val="00887E09"/>
    <w:rsid w:val="0089026D"/>
    <w:rsid w:val="00891340"/>
    <w:rsid w:val="00891575"/>
    <w:rsid w:val="00891DAC"/>
    <w:rsid w:val="00891FDB"/>
    <w:rsid w:val="008927A8"/>
    <w:rsid w:val="00892EAA"/>
    <w:rsid w:val="00893065"/>
    <w:rsid w:val="008937D6"/>
    <w:rsid w:val="0089396D"/>
    <w:rsid w:val="00893B96"/>
    <w:rsid w:val="00894060"/>
    <w:rsid w:val="00894331"/>
    <w:rsid w:val="00894741"/>
    <w:rsid w:val="00894D00"/>
    <w:rsid w:val="008959F0"/>
    <w:rsid w:val="0089655E"/>
    <w:rsid w:val="00896B52"/>
    <w:rsid w:val="00896CFD"/>
    <w:rsid w:val="00896D31"/>
    <w:rsid w:val="00896EA4"/>
    <w:rsid w:val="008976A4"/>
    <w:rsid w:val="008A0A6D"/>
    <w:rsid w:val="008A1013"/>
    <w:rsid w:val="008A1231"/>
    <w:rsid w:val="008A195F"/>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4B5"/>
    <w:rsid w:val="008B08C1"/>
    <w:rsid w:val="008B0BA5"/>
    <w:rsid w:val="008B12A6"/>
    <w:rsid w:val="008B13B3"/>
    <w:rsid w:val="008B254C"/>
    <w:rsid w:val="008B2D79"/>
    <w:rsid w:val="008B300D"/>
    <w:rsid w:val="008B3AEA"/>
    <w:rsid w:val="008B4AE1"/>
    <w:rsid w:val="008B55CA"/>
    <w:rsid w:val="008B5A60"/>
    <w:rsid w:val="008B5EA5"/>
    <w:rsid w:val="008B7300"/>
    <w:rsid w:val="008C0858"/>
    <w:rsid w:val="008C0E70"/>
    <w:rsid w:val="008C1506"/>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791"/>
    <w:rsid w:val="008D0CF7"/>
    <w:rsid w:val="008D1DE2"/>
    <w:rsid w:val="008D270C"/>
    <w:rsid w:val="008D3138"/>
    <w:rsid w:val="008D3D0A"/>
    <w:rsid w:val="008D3F66"/>
    <w:rsid w:val="008D4A5D"/>
    <w:rsid w:val="008D51C1"/>
    <w:rsid w:val="008D5D9B"/>
    <w:rsid w:val="008D6030"/>
    <w:rsid w:val="008D6A67"/>
    <w:rsid w:val="008D7BB3"/>
    <w:rsid w:val="008E03C1"/>
    <w:rsid w:val="008E0834"/>
    <w:rsid w:val="008E0865"/>
    <w:rsid w:val="008E0874"/>
    <w:rsid w:val="008E098A"/>
    <w:rsid w:val="008E1CE0"/>
    <w:rsid w:val="008E2536"/>
    <w:rsid w:val="008E26D2"/>
    <w:rsid w:val="008E3227"/>
    <w:rsid w:val="008E3550"/>
    <w:rsid w:val="008E3F49"/>
    <w:rsid w:val="008E43BE"/>
    <w:rsid w:val="008E4575"/>
    <w:rsid w:val="008E495A"/>
    <w:rsid w:val="008E5A9E"/>
    <w:rsid w:val="008E65F7"/>
    <w:rsid w:val="008E68D8"/>
    <w:rsid w:val="008E6B4A"/>
    <w:rsid w:val="008F04CB"/>
    <w:rsid w:val="008F0F55"/>
    <w:rsid w:val="008F1D26"/>
    <w:rsid w:val="008F1ECF"/>
    <w:rsid w:val="008F411A"/>
    <w:rsid w:val="008F4B2A"/>
    <w:rsid w:val="008F5140"/>
    <w:rsid w:val="008F56C2"/>
    <w:rsid w:val="008F5AB2"/>
    <w:rsid w:val="008F5C62"/>
    <w:rsid w:val="008F5CAB"/>
    <w:rsid w:val="008F5F72"/>
    <w:rsid w:val="008F6B42"/>
    <w:rsid w:val="008F6F72"/>
    <w:rsid w:val="008F72CA"/>
    <w:rsid w:val="008F7890"/>
    <w:rsid w:val="008F7FE0"/>
    <w:rsid w:val="00900156"/>
    <w:rsid w:val="0090017E"/>
    <w:rsid w:val="00901EF3"/>
    <w:rsid w:val="009028BA"/>
    <w:rsid w:val="00902F71"/>
    <w:rsid w:val="00903399"/>
    <w:rsid w:val="0090561E"/>
    <w:rsid w:val="009056C9"/>
    <w:rsid w:val="00906440"/>
    <w:rsid w:val="0090745B"/>
    <w:rsid w:val="009100F7"/>
    <w:rsid w:val="009107BB"/>
    <w:rsid w:val="009112A2"/>
    <w:rsid w:val="00911A5C"/>
    <w:rsid w:val="00911BD3"/>
    <w:rsid w:val="00911DE5"/>
    <w:rsid w:val="009125CF"/>
    <w:rsid w:val="00912A81"/>
    <w:rsid w:val="009137E5"/>
    <w:rsid w:val="00914A09"/>
    <w:rsid w:val="00914CDC"/>
    <w:rsid w:val="009152FC"/>
    <w:rsid w:val="0091566F"/>
    <w:rsid w:val="0091591D"/>
    <w:rsid w:val="00915CB6"/>
    <w:rsid w:val="009164AA"/>
    <w:rsid w:val="00916B48"/>
    <w:rsid w:val="0091726C"/>
    <w:rsid w:val="00917438"/>
    <w:rsid w:val="0091789F"/>
    <w:rsid w:val="0091793A"/>
    <w:rsid w:val="00917AB4"/>
    <w:rsid w:val="00917D5D"/>
    <w:rsid w:val="00917D8A"/>
    <w:rsid w:val="00920E89"/>
    <w:rsid w:val="00920F5E"/>
    <w:rsid w:val="0092106E"/>
    <w:rsid w:val="0092118D"/>
    <w:rsid w:val="009214A5"/>
    <w:rsid w:val="0092181D"/>
    <w:rsid w:val="009218FF"/>
    <w:rsid w:val="009243F9"/>
    <w:rsid w:val="00924C33"/>
    <w:rsid w:val="00924F61"/>
    <w:rsid w:val="00925037"/>
    <w:rsid w:val="00925D7B"/>
    <w:rsid w:val="00926397"/>
    <w:rsid w:val="00926ED1"/>
    <w:rsid w:val="009300E5"/>
    <w:rsid w:val="009306F7"/>
    <w:rsid w:val="0093073E"/>
    <w:rsid w:val="00930A5C"/>
    <w:rsid w:val="00931371"/>
    <w:rsid w:val="00931428"/>
    <w:rsid w:val="009331F3"/>
    <w:rsid w:val="00933BE4"/>
    <w:rsid w:val="00933C37"/>
    <w:rsid w:val="00933DBA"/>
    <w:rsid w:val="00933FC9"/>
    <w:rsid w:val="00934C07"/>
    <w:rsid w:val="0093593F"/>
    <w:rsid w:val="0093615E"/>
    <w:rsid w:val="009365C0"/>
    <w:rsid w:val="0093677F"/>
    <w:rsid w:val="009367D2"/>
    <w:rsid w:val="00936DCF"/>
    <w:rsid w:val="00936FA1"/>
    <w:rsid w:val="00937F59"/>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A3D"/>
    <w:rsid w:val="00946CB1"/>
    <w:rsid w:val="00946D86"/>
    <w:rsid w:val="00946FCA"/>
    <w:rsid w:val="009474D7"/>
    <w:rsid w:val="00947C74"/>
    <w:rsid w:val="00947F32"/>
    <w:rsid w:val="0095090C"/>
    <w:rsid w:val="00950B18"/>
    <w:rsid w:val="0095106D"/>
    <w:rsid w:val="00951106"/>
    <w:rsid w:val="009512F1"/>
    <w:rsid w:val="009514DD"/>
    <w:rsid w:val="00952DBA"/>
    <w:rsid w:val="00953EDC"/>
    <w:rsid w:val="009547A0"/>
    <w:rsid w:val="009551B3"/>
    <w:rsid w:val="009556AB"/>
    <w:rsid w:val="00956E50"/>
    <w:rsid w:val="00957099"/>
    <w:rsid w:val="00957AA8"/>
    <w:rsid w:val="009609EB"/>
    <w:rsid w:val="009615CF"/>
    <w:rsid w:val="00962227"/>
    <w:rsid w:val="009622AF"/>
    <w:rsid w:val="009630B6"/>
    <w:rsid w:val="00963797"/>
    <w:rsid w:val="00963CB7"/>
    <w:rsid w:val="00963CDA"/>
    <w:rsid w:val="0096450E"/>
    <w:rsid w:val="00964931"/>
    <w:rsid w:val="009659BF"/>
    <w:rsid w:val="00965B11"/>
    <w:rsid w:val="00965F52"/>
    <w:rsid w:val="00966067"/>
    <w:rsid w:val="009660F9"/>
    <w:rsid w:val="00966166"/>
    <w:rsid w:val="00966597"/>
    <w:rsid w:val="009665E9"/>
    <w:rsid w:val="0096667E"/>
    <w:rsid w:val="00966848"/>
    <w:rsid w:val="00966F6F"/>
    <w:rsid w:val="0097051E"/>
    <w:rsid w:val="00970B39"/>
    <w:rsid w:val="00970F98"/>
    <w:rsid w:val="009717A4"/>
    <w:rsid w:val="00971841"/>
    <w:rsid w:val="00971DA8"/>
    <w:rsid w:val="0097286B"/>
    <w:rsid w:val="00972A99"/>
    <w:rsid w:val="00973089"/>
    <w:rsid w:val="00973D0B"/>
    <w:rsid w:val="00974800"/>
    <w:rsid w:val="0097508C"/>
    <w:rsid w:val="0097553D"/>
    <w:rsid w:val="00976108"/>
    <w:rsid w:val="0097668C"/>
    <w:rsid w:val="009770A4"/>
    <w:rsid w:val="00977514"/>
    <w:rsid w:val="00977576"/>
    <w:rsid w:val="00977831"/>
    <w:rsid w:val="009779D5"/>
    <w:rsid w:val="00977BB3"/>
    <w:rsid w:val="00977BE8"/>
    <w:rsid w:val="00977D18"/>
    <w:rsid w:val="00980816"/>
    <w:rsid w:val="00981377"/>
    <w:rsid w:val="00981805"/>
    <w:rsid w:val="00981A44"/>
    <w:rsid w:val="00981AD1"/>
    <w:rsid w:val="009823A4"/>
    <w:rsid w:val="00982CFD"/>
    <w:rsid w:val="00983AA4"/>
    <w:rsid w:val="00983FA9"/>
    <w:rsid w:val="00984015"/>
    <w:rsid w:val="009844CD"/>
    <w:rsid w:val="00984C52"/>
    <w:rsid w:val="00985A99"/>
    <w:rsid w:val="00985DC8"/>
    <w:rsid w:val="009866BC"/>
    <w:rsid w:val="00986884"/>
    <w:rsid w:val="00987711"/>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789"/>
    <w:rsid w:val="00992A54"/>
    <w:rsid w:val="0099303E"/>
    <w:rsid w:val="009931AE"/>
    <w:rsid w:val="009942FE"/>
    <w:rsid w:val="0099589A"/>
    <w:rsid w:val="00995DE2"/>
    <w:rsid w:val="00995E81"/>
    <w:rsid w:val="00996483"/>
    <w:rsid w:val="00996E13"/>
    <w:rsid w:val="009A0241"/>
    <w:rsid w:val="009A07E6"/>
    <w:rsid w:val="009A1188"/>
    <w:rsid w:val="009A19C6"/>
    <w:rsid w:val="009A1DAC"/>
    <w:rsid w:val="009A1ED9"/>
    <w:rsid w:val="009A43B5"/>
    <w:rsid w:val="009A43B6"/>
    <w:rsid w:val="009A5199"/>
    <w:rsid w:val="009A5709"/>
    <w:rsid w:val="009A5901"/>
    <w:rsid w:val="009A5A4A"/>
    <w:rsid w:val="009A668D"/>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B7AB0"/>
    <w:rsid w:val="009C10FE"/>
    <w:rsid w:val="009C17CE"/>
    <w:rsid w:val="009C2769"/>
    <w:rsid w:val="009C33A9"/>
    <w:rsid w:val="009C34AF"/>
    <w:rsid w:val="009C35E0"/>
    <w:rsid w:val="009C38AC"/>
    <w:rsid w:val="009C3CC6"/>
    <w:rsid w:val="009C477B"/>
    <w:rsid w:val="009C4AC7"/>
    <w:rsid w:val="009C4CD4"/>
    <w:rsid w:val="009C4F32"/>
    <w:rsid w:val="009C50EE"/>
    <w:rsid w:val="009C58B5"/>
    <w:rsid w:val="009C5952"/>
    <w:rsid w:val="009C5B8D"/>
    <w:rsid w:val="009C5D2F"/>
    <w:rsid w:val="009C5E49"/>
    <w:rsid w:val="009C6B2A"/>
    <w:rsid w:val="009C728B"/>
    <w:rsid w:val="009C7350"/>
    <w:rsid w:val="009C7E40"/>
    <w:rsid w:val="009D0131"/>
    <w:rsid w:val="009D0B26"/>
    <w:rsid w:val="009D0D59"/>
    <w:rsid w:val="009D1187"/>
    <w:rsid w:val="009D13CF"/>
    <w:rsid w:val="009D146E"/>
    <w:rsid w:val="009D1847"/>
    <w:rsid w:val="009D1C72"/>
    <w:rsid w:val="009D201C"/>
    <w:rsid w:val="009D2134"/>
    <w:rsid w:val="009D22B4"/>
    <w:rsid w:val="009D2D98"/>
    <w:rsid w:val="009D348A"/>
    <w:rsid w:val="009D38F9"/>
    <w:rsid w:val="009D40CA"/>
    <w:rsid w:val="009D41C7"/>
    <w:rsid w:val="009D42F4"/>
    <w:rsid w:val="009D483F"/>
    <w:rsid w:val="009D54C1"/>
    <w:rsid w:val="009D54DD"/>
    <w:rsid w:val="009D5A79"/>
    <w:rsid w:val="009D5BAD"/>
    <w:rsid w:val="009D69BD"/>
    <w:rsid w:val="009D7141"/>
    <w:rsid w:val="009D7191"/>
    <w:rsid w:val="009D7462"/>
    <w:rsid w:val="009D76A1"/>
    <w:rsid w:val="009D7A9E"/>
    <w:rsid w:val="009D7FD1"/>
    <w:rsid w:val="009E06BC"/>
    <w:rsid w:val="009E08A5"/>
    <w:rsid w:val="009E090D"/>
    <w:rsid w:val="009E10A7"/>
    <w:rsid w:val="009E11D3"/>
    <w:rsid w:val="009E1366"/>
    <w:rsid w:val="009E1410"/>
    <w:rsid w:val="009E1928"/>
    <w:rsid w:val="009E1B87"/>
    <w:rsid w:val="009E1E8D"/>
    <w:rsid w:val="009E25C9"/>
    <w:rsid w:val="009E2AAB"/>
    <w:rsid w:val="009E31A3"/>
    <w:rsid w:val="009E3923"/>
    <w:rsid w:val="009E3B14"/>
    <w:rsid w:val="009E3E2E"/>
    <w:rsid w:val="009E423B"/>
    <w:rsid w:val="009E42D1"/>
    <w:rsid w:val="009E4430"/>
    <w:rsid w:val="009E4CE6"/>
    <w:rsid w:val="009E4DA9"/>
    <w:rsid w:val="009E55A5"/>
    <w:rsid w:val="009E5B6A"/>
    <w:rsid w:val="009E6001"/>
    <w:rsid w:val="009E68EC"/>
    <w:rsid w:val="009E79F1"/>
    <w:rsid w:val="009F03D2"/>
    <w:rsid w:val="009F06DB"/>
    <w:rsid w:val="009F0895"/>
    <w:rsid w:val="009F09C5"/>
    <w:rsid w:val="009F0B3E"/>
    <w:rsid w:val="009F0C6F"/>
    <w:rsid w:val="009F1183"/>
    <w:rsid w:val="009F17EE"/>
    <w:rsid w:val="009F19FD"/>
    <w:rsid w:val="009F22E6"/>
    <w:rsid w:val="009F24AF"/>
    <w:rsid w:val="009F24D3"/>
    <w:rsid w:val="009F2957"/>
    <w:rsid w:val="009F3047"/>
    <w:rsid w:val="009F3072"/>
    <w:rsid w:val="009F3261"/>
    <w:rsid w:val="009F3625"/>
    <w:rsid w:val="009F3651"/>
    <w:rsid w:val="009F3AD6"/>
    <w:rsid w:val="009F3B4C"/>
    <w:rsid w:val="009F3BB1"/>
    <w:rsid w:val="009F44D4"/>
    <w:rsid w:val="009F46AC"/>
    <w:rsid w:val="009F5B86"/>
    <w:rsid w:val="009F5BD8"/>
    <w:rsid w:val="009F5C27"/>
    <w:rsid w:val="009F6538"/>
    <w:rsid w:val="009F6674"/>
    <w:rsid w:val="009F66E0"/>
    <w:rsid w:val="009F67F5"/>
    <w:rsid w:val="009F6E53"/>
    <w:rsid w:val="009F7285"/>
    <w:rsid w:val="009F750C"/>
    <w:rsid w:val="009F7CEA"/>
    <w:rsid w:val="009F7DCB"/>
    <w:rsid w:val="009F7E28"/>
    <w:rsid w:val="00A007F2"/>
    <w:rsid w:val="00A014F6"/>
    <w:rsid w:val="00A0182A"/>
    <w:rsid w:val="00A01915"/>
    <w:rsid w:val="00A02501"/>
    <w:rsid w:val="00A031D8"/>
    <w:rsid w:val="00A03ED3"/>
    <w:rsid w:val="00A04628"/>
    <w:rsid w:val="00A04EB3"/>
    <w:rsid w:val="00A05ABC"/>
    <w:rsid w:val="00A05C11"/>
    <w:rsid w:val="00A05F99"/>
    <w:rsid w:val="00A0691E"/>
    <w:rsid w:val="00A06BA0"/>
    <w:rsid w:val="00A074AC"/>
    <w:rsid w:val="00A07EB4"/>
    <w:rsid w:val="00A10088"/>
    <w:rsid w:val="00A100AB"/>
    <w:rsid w:val="00A101A0"/>
    <w:rsid w:val="00A10622"/>
    <w:rsid w:val="00A108CF"/>
    <w:rsid w:val="00A1196D"/>
    <w:rsid w:val="00A1207B"/>
    <w:rsid w:val="00A1221C"/>
    <w:rsid w:val="00A12395"/>
    <w:rsid w:val="00A13C23"/>
    <w:rsid w:val="00A14261"/>
    <w:rsid w:val="00A142C2"/>
    <w:rsid w:val="00A14640"/>
    <w:rsid w:val="00A1469A"/>
    <w:rsid w:val="00A14B9E"/>
    <w:rsid w:val="00A1515F"/>
    <w:rsid w:val="00A151DB"/>
    <w:rsid w:val="00A15298"/>
    <w:rsid w:val="00A1577D"/>
    <w:rsid w:val="00A15A99"/>
    <w:rsid w:val="00A15F21"/>
    <w:rsid w:val="00A16F98"/>
    <w:rsid w:val="00A17FD2"/>
    <w:rsid w:val="00A20554"/>
    <w:rsid w:val="00A212A0"/>
    <w:rsid w:val="00A21AA3"/>
    <w:rsid w:val="00A21D17"/>
    <w:rsid w:val="00A22648"/>
    <w:rsid w:val="00A246FF"/>
    <w:rsid w:val="00A24761"/>
    <w:rsid w:val="00A24779"/>
    <w:rsid w:val="00A252CB"/>
    <w:rsid w:val="00A2534B"/>
    <w:rsid w:val="00A255C7"/>
    <w:rsid w:val="00A26094"/>
    <w:rsid w:val="00A263C4"/>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0FA"/>
    <w:rsid w:val="00A356E6"/>
    <w:rsid w:val="00A35832"/>
    <w:rsid w:val="00A35FBB"/>
    <w:rsid w:val="00A37994"/>
    <w:rsid w:val="00A37A3E"/>
    <w:rsid w:val="00A40407"/>
    <w:rsid w:val="00A4076B"/>
    <w:rsid w:val="00A41AC8"/>
    <w:rsid w:val="00A42521"/>
    <w:rsid w:val="00A42615"/>
    <w:rsid w:val="00A42636"/>
    <w:rsid w:val="00A439A3"/>
    <w:rsid w:val="00A43B15"/>
    <w:rsid w:val="00A4565C"/>
    <w:rsid w:val="00A45D8B"/>
    <w:rsid w:val="00A4633D"/>
    <w:rsid w:val="00A465B5"/>
    <w:rsid w:val="00A46A5D"/>
    <w:rsid w:val="00A46D0B"/>
    <w:rsid w:val="00A47699"/>
    <w:rsid w:val="00A509DB"/>
    <w:rsid w:val="00A50BFD"/>
    <w:rsid w:val="00A50EE1"/>
    <w:rsid w:val="00A5159E"/>
    <w:rsid w:val="00A51DD5"/>
    <w:rsid w:val="00A52100"/>
    <w:rsid w:val="00A5233F"/>
    <w:rsid w:val="00A5281B"/>
    <w:rsid w:val="00A5310E"/>
    <w:rsid w:val="00A5320A"/>
    <w:rsid w:val="00A5321B"/>
    <w:rsid w:val="00A53BF9"/>
    <w:rsid w:val="00A53EE7"/>
    <w:rsid w:val="00A54531"/>
    <w:rsid w:val="00A5467F"/>
    <w:rsid w:val="00A5528F"/>
    <w:rsid w:val="00A5545C"/>
    <w:rsid w:val="00A55D65"/>
    <w:rsid w:val="00A562AF"/>
    <w:rsid w:val="00A56A10"/>
    <w:rsid w:val="00A56CCE"/>
    <w:rsid w:val="00A5757F"/>
    <w:rsid w:val="00A57748"/>
    <w:rsid w:val="00A577C4"/>
    <w:rsid w:val="00A60539"/>
    <w:rsid w:val="00A60A3E"/>
    <w:rsid w:val="00A60D20"/>
    <w:rsid w:val="00A60F9D"/>
    <w:rsid w:val="00A615D5"/>
    <w:rsid w:val="00A617C8"/>
    <w:rsid w:val="00A621C7"/>
    <w:rsid w:val="00A629E0"/>
    <w:rsid w:val="00A62FAE"/>
    <w:rsid w:val="00A6356B"/>
    <w:rsid w:val="00A650DD"/>
    <w:rsid w:val="00A65819"/>
    <w:rsid w:val="00A6624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42DF"/>
    <w:rsid w:val="00A7438F"/>
    <w:rsid w:val="00A7484F"/>
    <w:rsid w:val="00A748ED"/>
    <w:rsid w:val="00A74C6C"/>
    <w:rsid w:val="00A751B6"/>
    <w:rsid w:val="00A752F3"/>
    <w:rsid w:val="00A753A2"/>
    <w:rsid w:val="00A75F84"/>
    <w:rsid w:val="00A77A82"/>
    <w:rsid w:val="00A804BD"/>
    <w:rsid w:val="00A808FA"/>
    <w:rsid w:val="00A81B79"/>
    <w:rsid w:val="00A82901"/>
    <w:rsid w:val="00A82EE6"/>
    <w:rsid w:val="00A833D7"/>
    <w:rsid w:val="00A8340E"/>
    <w:rsid w:val="00A8366D"/>
    <w:rsid w:val="00A837AB"/>
    <w:rsid w:val="00A837E4"/>
    <w:rsid w:val="00A83B2E"/>
    <w:rsid w:val="00A83D62"/>
    <w:rsid w:val="00A83E25"/>
    <w:rsid w:val="00A847E7"/>
    <w:rsid w:val="00A84891"/>
    <w:rsid w:val="00A849EC"/>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453"/>
    <w:rsid w:val="00A94115"/>
    <w:rsid w:val="00A941A2"/>
    <w:rsid w:val="00A9461B"/>
    <w:rsid w:val="00A94D3A"/>
    <w:rsid w:val="00A955F7"/>
    <w:rsid w:val="00A9581E"/>
    <w:rsid w:val="00A959DF"/>
    <w:rsid w:val="00A95D54"/>
    <w:rsid w:val="00A96A41"/>
    <w:rsid w:val="00A96D07"/>
    <w:rsid w:val="00AA0245"/>
    <w:rsid w:val="00AA02E3"/>
    <w:rsid w:val="00AA02FB"/>
    <w:rsid w:val="00AA0713"/>
    <w:rsid w:val="00AA08B1"/>
    <w:rsid w:val="00AA0C4B"/>
    <w:rsid w:val="00AA104D"/>
    <w:rsid w:val="00AA1831"/>
    <w:rsid w:val="00AA2285"/>
    <w:rsid w:val="00AA26AB"/>
    <w:rsid w:val="00AA277C"/>
    <w:rsid w:val="00AA2956"/>
    <w:rsid w:val="00AA29A2"/>
    <w:rsid w:val="00AA2CB6"/>
    <w:rsid w:val="00AA2DE6"/>
    <w:rsid w:val="00AA39AC"/>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1F6A"/>
    <w:rsid w:val="00AB25F9"/>
    <w:rsid w:val="00AB2AE1"/>
    <w:rsid w:val="00AB2EC6"/>
    <w:rsid w:val="00AB336C"/>
    <w:rsid w:val="00AB4074"/>
    <w:rsid w:val="00AB463A"/>
    <w:rsid w:val="00AB4AB3"/>
    <w:rsid w:val="00AB4C78"/>
    <w:rsid w:val="00AB4FA1"/>
    <w:rsid w:val="00AB52B0"/>
    <w:rsid w:val="00AB58BC"/>
    <w:rsid w:val="00AB58F3"/>
    <w:rsid w:val="00AB6065"/>
    <w:rsid w:val="00AB6C4A"/>
    <w:rsid w:val="00AB6DF8"/>
    <w:rsid w:val="00AB7651"/>
    <w:rsid w:val="00AB7EC4"/>
    <w:rsid w:val="00AC0313"/>
    <w:rsid w:val="00AC117A"/>
    <w:rsid w:val="00AC1184"/>
    <w:rsid w:val="00AC1971"/>
    <w:rsid w:val="00AC1D4D"/>
    <w:rsid w:val="00AC1F86"/>
    <w:rsid w:val="00AC3043"/>
    <w:rsid w:val="00AC38C1"/>
    <w:rsid w:val="00AC3907"/>
    <w:rsid w:val="00AC3BBF"/>
    <w:rsid w:val="00AC4078"/>
    <w:rsid w:val="00AC4FED"/>
    <w:rsid w:val="00AC5D60"/>
    <w:rsid w:val="00AC623C"/>
    <w:rsid w:val="00AC66C7"/>
    <w:rsid w:val="00AC7CBA"/>
    <w:rsid w:val="00AD26F1"/>
    <w:rsid w:val="00AD30A6"/>
    <w:rsid w:val="00AD40B6"/>
    <w:rsid w:val="00AD4CD0"/>
    <w:rsid w:val="00AD506A"/>
    <w:rsid w:val="00AD568D"/>
    <w:rsid w:val="00AD59EE"/>
    <w:rsid w:val="00AD6518"/>
    <w:rsid w:val="00AD6659"/>
    <w:rsid w:val="00AD6D34"/>
    <w:rsid w:val="00AD7379"/>
    <w:rsid w:val="00AD79B7"/>
    <w:rsid w:val="00AE0A81"/>
    <w:rsid w:val="00AE1284"/>
    <w:rsid w:val="00AE1596"/>
    <w:rsid w:val="00AE1846"/>
    <w:rsid w:val="00AE1C16"/>
    <w:rsid w:val="00AE2CE4"/>
    <w:rsid w:val="00AE2DA9"/>
    <w:rsid w:val="00AE3113"/>
    <w:rsid w:val="00AE3298"/>
    <w:rsid w:val="00AE3B24"/>
    <w:rsid w:val="00AE4078"/>
    <w:rsid w:val="00AE4706"/>
    <w:rsid w:val="00AE4A82"/>
    <w:rsid w:val="00AE4B81"/>
    <w:rsid w:val="00AE60E6"/>
    <w:rsid w:val="00AE63A2"/>
    <w:rsid w:val="00AE69C2"/>
    <w:rsid w:val="00AE707A"/>
    <w:rsid w:val="00AE7B3E"/>
    <w:rsid w:val="00AF05EC"/>
    <w:rsid w:val="00AF0CD2"/>
    <w:rsid w:val="00AF0DAB"/>
    <w:rsid w:val="00AF13F4"/>
    <w:rsid w:val="00AF198E"/>
    <w:rsid w:val="00AF21BD"/>
    <w:rsid w:val="00AF2212"/>
    <w:rsid w:val="00AF2651"/>
    <w:rsid w:val="00AF2CEF"/>
    <w:rsid w:val="00AF2DD8"/>
    <w:rsid w:val="00AF2E7C"/>
    <w:rsid w:val="00AF35D9"/>
    <w:rsid w:val="00AF3A7D"/>
    <w:rsid w:val="00AF41A7"/>
    <w:rsid w:val="00AF45D7"/>
    <w:rsid w:val="00AF474E"/>
    <w:rsid w:val="00AF5287"/>
    <w:rsid w:val="00AF5478"/>
    <w:rsid w:val="00AF5738"/>
    <w:rsid w:val="00AF5948"/>
    <w:rsid w:val="00AF7ABF"/>
    <w:rsid w:val="00AF7FD8"/>
    <w:rsid w:val="00B00D3B"/>
    <w:rsid w:val="00B01DFA"/>
    <w:rsid w:val="00B021D4"/>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4A"/>
    <w:rsid w:val="00B17D65"/>
    <w:rsid w:val="00B20E1E"/>
    <w:rsid w:val="00B21465"/>
    <w:rsid w:val="00B21B47"/>
    <w:rsid w:val="00B2307C"/>
    <w:rsid w:val="00B230E0"/>
    <w:rsid w:val="00B2318F"/>
    <w:rsid w:val="00B23EB6"/>
    <w:rsid w:val="00B24201"/>
    <w:rsid w:val="00B2497B"/>
    <w:rsid w:val="00B24D18"/>
    <w:rsid w:val="00B25A6A"/>
    <w:rsid w:val="00B25F9B"/>
    <w:rsid w:val="00B26C7C"/>
    <w:rsid w:val="00B26F98"/>
    <w:rsid w:val="00B2734B"/>
    <w:rsid w:val="00B276A4"/>
    <w:rsid w:val="00B2782A"/>
    <w:rsid w:val="00B305EF"/>
    <w:rsid w:val="00B31351"/>
    <w:rsid w:val="00B32D14"/>
    <w:rsid w:val="00B333EE"/>
    <w:rsid w:val="00B33FA4"/>
    <w:rsid w:val="00B341A1"/>
    <w:rsid w:val="00B34A55"/>
    <w:rsid w:val="00B34AE7"/>
    <w:rsid w:val="00B34C46"/>
    <w:rsid w:val="00B34D44"/>
    <w:rsid w:val="00B35242"/>
    <w:rsid w:val="00B355DE"/>
    <w:rsid w:val="00B367BC"/>
    <w:rsid w:val="00B36B39"/>
    <w:rsid w:val="00B37C6B"/>
    <w:rsid w:val="00B402C6"/>
    <w:rsid w:val="00B40906"/>
    <w:rsid w:val="00B40DD2"/>
    <w:rsid w:val="00B40E06"/>
    <w:rsid w:val="00B40F92"/>
    <w:rsid w:val="00B4220F"/>
    <w:rsid w:val="00B42222"/>
    <w:rsid w:val="00B42FE2"/>
    <w:rsid w:val="00B432BD"/>
    <w:rsid w:val="00B43453"/>
    <w:rsid w:val="00B438DE"/>
    <w:rsid w:val="00B43B86"/>
    <w:rsid w:val="00B43D82"/>
    <w:rsid w:val="00B4468D"/>
    <w:rsid w:val="00B44A31"/>
    <w:rsid w:val="00B44E33"/>
    <w:rsid w:val="00B45935"/>
    <w:rsid w:val="00B460AA"/>
    <w:rsid w:val="00B4649D"/>
    <w:rsid w:val="00B464E0"/>
    <w:rsid w:val="00B470B2"/>
    <w:rsid w:val="00B47551"/>
    <w:rsid w:val="00B4766A"/>
    <w:rsid w:val="00B50742"/>
    <w:rsid w:val="00B5098D"/>
    <w:rsid w:val="00B51B43"/>
    <w:rsid w:val="00B51C0E"/>
    <w:rsid w:val="00B52F5D"/>
    <w:rsid w:val="00B539B6"/>
    <w:rsid w:val="00B54363"/>
    <w:rsid w:val="00B54F05"/>
    <w:rsid w:val="00B55A72"/>
    <w:rsid w:val="00B55FBC"/>
    <w:rsid w:val="00B56746"/>
    <w:rsid w:val="00B57C43"/>
    <w:rsid w:val="00B60491"/>
    <w:rsid w:val="00B60B24"/>
    <w:rsid w:val="00B61244"/>
    <w:rsid w:val="00B61ADD"/>
    <w:rsid w:val="00B61B39"/>
    <w:rsid w:val="00B61EDF"/>
    <w:rsid w:val="00B61F8F"/>
    <w:rsid w:val="00B62104"/>
    <w:rsid w:val="00B62818"/>
    <w:rsid w:val="00B62AF8"/>
    <w:rsid w:val="00B636A0"/>
    <w:rsid w:val="00B63907"/>
    <w:rsid w:val="00B63AD4"/>
    <w:rsid w:val="00B63D70"/>
    <w:rsid w:val="00B63DE9"/>
    <w:rsid w:val="00B648A7"/>
    <w:rsid w:val="00B64945"/>
    <w:rsid w:val="00B65151"/>
    <w:rsid w:val="00B65969"/>
    <w:rsid w:val="00B659AC"/>
    <w:rsid w:val="00B70469"/>
    <w:rsid w:val="00B7046E"/>
    <w:rsid w:val="00B70495"/>
    <w:rsid w:val="00B7078F"/>
    <w:rsid w:val="00B70F20"/>
    <w:rsid w:val="00B713E5"/>
    <w:rsid w:val="00B71696"/>
    <w:rsid w:val="00B719D4"/>
    <w:rsid w:val="00B723D1"/>
    <w:rsid w:val="00B729C2"/>
    <w:rsid w:val="00B72CFC"/>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3C8"/>
    <w:rsid w:val="00B81130"/>
    <w:rsid w:val="00B8210C"/>
    <w:rsid w:val="00B8254C"/>
    <w:rsid w:val="00B82FE2"/>
    <w:rsid w:val="00B83654"/>
    <w:rsid w:val="00B83C45"/>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90B"/>
    <w:rsid w:val="00B93733"/>
    <w:rsid w:val="00B93834"/>
    <w:rsid w:val="00B94292"/>
    <w:rsid w:val="00B94524"/>
    <w:rsid w:val="00B95350"/>
    <w:rsid w:val="00B9572E"/>
    <w:rsid w:val="00B95D86"/>
    <w:rsid w:val="00B95F98"/>
    <w:rsid w:val="00B96C77"/>
    <w:rsid w:val="00B96DA0"/>
    <w:rsid w:val="00B96FE2"/>
    <w:rsid w:val="00B97468"/>
    <w:rsid w:val="00BA02FD"/>
    <w:rsid w:val="00BA09B8"/>
    <w:rsid w:val="00BA1317"/>
    <w:rsid w:val="00BA2042"/>
    <w:rsid w:val="00BA20A7"/>
    <w:rsid w:val="00BA23FA"/>
    <w:rsid w:val="00BA369A"/>
    <w:rsid w:val="00BA5099"/>
    <w:rsid w:val="00BA59DE"/>
    <w:rsid w:val="00BA5CA9"/>
    <w:rsid w:val="00BA5F12"/>
    <w:rsid w:val="00BA62B9"/>
    <w:rsid w:val="00BA720C"/>
    <w:rsid w:val="00BA7423"/>
    <w:rsid w:val="00BA756D"/>
    <w:rsid w:val="00BA79D3"/>
    <w:rsid w:val="00BA7A73"/>
    <w:rsid w:val="00BB0A08"/>
    <w:rsid w:val="00BB1748"/>
    <w:rsid w:val="00BB2008"/>
    <w:rsid w:val="00BB28A8"/>
    <w:rsid w:val="00BB3443"/>
    <w:rsid w:val="00BB3A59"/>
    <w:rsid w:val="00BB4694"/>
    <w:rsid w:val="00BB4FAA"/>
    <w:rsid w:val="00BB5C36"/>
    <w:rsid w:val="00BB619B"/>
    <w:rsid w:val="00BC0564"/>
    <w:rsid w:val="00BC103E"/>
    <w:rsid w:val="00BC13A2"/>
    <w:rsid w:val="00BC1716"/>
    <w:rsid w:val="00BC1FB9"/>
    <w:rsid w:val="00BC2096"/>
    <w:rsid w:val="00BC2603"/>
    <w:rsid w:val="00BC2D61"/>
    <w:rsid w:val="00BC35F4"/>
    <w:rsid w:val="00BC3D1E"/>
    <w:rsid w:val="00BC3D52"/>
    <w:rsid w:val="00BC3E28"/>
    <w:rsid w:val="00BC3E2E"/>
    <w:rsid w:val="00BC44E3"/>
    <w:rsid w:val="00BC47D2"/>
    <w:rsid w:val="00BC5AAA"/>
    <w:rsid w:val="00BC5D7A"/>
    <w:rsid w:val="00BC6004"/>
    <w:rsid w:val="00BC65CF"/>
    <w:rsid w:val="00BC69EC"/>
    <w:rsid w:val="00BC6EF3"/>
    <w:rsid w:val="00BC76A1"/>
    <w:rsid w:val="00BC77AF"/>
    <w:rsid w:val="00BC782E"/>
    <w:rsid w:val="00BC7DFC"/>
    <w:rsid w:val="00BD0BC0"/>
    <w:rsid w:val="00BD0EB3"/>
    <w:rsid w:val="00BD0FB8"/>
    <w:rsid w:val="00BD12EE"/>
    <w:rsid w:val="00BD1E8D"/>
    <w:rsid w:val="00BD3A8D"/>
    <w:rsid w:val="00BD3F90"/>
    <w:rsid w:val="00BD4ADE"/>
    <w:rsid w:val="00BD6AAE"/>
    <w:rsid w:val="00BD7090"/>
    <w:rsid w:val="00BD756C"/>
    <w:rsid w:val="00BD758B"/>
    <w:rsid w:val="00BD7CE1"/>
    <w:rsid w:val="00BD7F9C"/>
    <w:rsid w:val="00BE0007"/>
    <w:rsid w:val="00BE0E15"/>
    <w:rsid w:val="00BE1B0D"/>
    <w:rsid w:val="00BE24E5"/>
    <w:rsid w:val="00BE37D5"/>
    <w:rsid w:val="00BE6BED"/>
    <w:rsid w:val="00BE6F8A"/>
    <w:rsid w:val="00BE751E"/>
    <w:rsid w:val="00BE7EB3"/>
    <w:rsid w:val="00BF0D0E"/>
    <w:rsid w:val="00BF0E5F"/>
    <w:rsid w:val="00BF1157"/>
    <w:rsid w:val="00BF16B7"/>
    <w:rsid w:val="00BF19A2"/>
    <w:rsid w:val="00BF226B"/>
    <w:rsid w:val="00BF290B"/>
    <w:rsid w:val="00BF3010"/>
    <w:rsid w:val="00BF32A4"/>
    <w:rsid w:val="00BF3962"/>
    <w:rsid w:val="00BF3F7C"/>
    <w:rsid w:val="00BF4604"/>
    <w:rsid w:val="00BF4F32"/>
    <w:rsid w:val="00BF522B"/>
    <w:rsid w:val="00BF5458"/>
    <w:rsid w:val="00BF60DE"/>
    <w:rsid w:val="00BF6142"/>
    <w:rsid w:val="00BF6381"/>
    <w:rsid w:val="00BF7934"/>
    <w:rsid w:val="00C00634"/>
    <w:rsid w:val="00C008CB"/>
    <w:rsid w:val="00C00AD0"/>
    <w:rsid w:val="00C00BD3"/>
    <w:rsid w:val="00C00E13"/>
    <w:rsid w:val="00C01164"/>
    <w:rsid w:val="00C012BE"/>
    <w:rsid w:val="00C01345"/>
    <w:rsid w:val="00C0201E"/>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68F"/>
    <w:rsid w:val="00C07790"/>
    <w:rsid w:val="00C10269"/>
    <w:rsid w:val="00C105A2"/>
    <w:rsid w:val="00C108ED"/>
    <w:rsid w:val="00C10B69"/>
    <w:rsid w:val="00C11B96"/>
    <w:rsid w:val="00C13164"/>
    <w:rsid w:val="00C131F3"/>
    <w:rsid w:val="00C13F6B"/>
    <w:rsid w:val="00C14412"/>
    <w:rsid w:val="00C14835"/>
    <w:rsid w:val="00C1490F"/>
    <w:rsid w:val="00C14AF1"/>
    <w:rsid w:val="00C15B8C"/>
    <w:rsid w:val="00C163A2"/>
    <w:rsid w:val="00C1680B"/>
    <w:rsid w:val="00C1778A"/>
    <w:rsid w:val="00C177BA"/>
    <w:rsid w:val="00C17C90"/>
    <w:rsid w:val="00C200C6"/>
    <w:rsid w:val="00C20248"/>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395"/>
    <w:rsid w:val="00C2539C"/>
    <w:rsid w:val="00C2572E"/>
    <w:rsid w:val="00C26183"/>
    <w:rsid w:val="00C26C05"/>
    <w:rsid w:val="00C26CA2"/>
    <w:rsid w:val="00C30A5B"/>
    <w:rsid w:val="00C30AA5"/>
    <w:rsid w:val="00C31634"/>
    <w:rsid w:val="00C31CAA"/>
    <w:rsid w:val="00C326DE"/>
    <w:rsid w:val="00C326F8"/>
    <w:rsid w:val="00C32CD0"/>
    <w:rsid w:val="00C33E5E"/>
    <w:rsid w:val="00C34285"/>
    <w:rsid w:val="00C34BCF"/>
    <w:rsid w:val="00C351AC"/>
    <w:rsid w:val="00C35BE0"/>
    <w:rsid w:val="00C35E8E"/>
    <w:rsid w:val="00C3638C"/>
    <w:rsid w:val="00C367B1"/>
    <w:rsid w:val="00C36943"/>
    <w:rsid w:val="00C36DA2"/>
    <w:rsid w:val="00C37324"/>
    <w:rsid w:val="00C37639"/>
    <w:rsid w:val="00C377D4"/>
    <w:rsid w:val="00C379BB"/>
    <w:rsid w:val="00C37C37"/>
    <w:rsid w:val="00C404D9"/>
    <w:rsid w:val="00C40849"/>
    <w:rsid w:val="00C40D35"/>
    <w:rsid w:val="00C41039"/>
    <w:rsid w:val="00C4160B"/>
    <w:rsid w:val="00C419D0"/>
    <w:rsid w:val="00C41A9C"/>
    <w:rsid w:val="00C41C2E"/>
    <w:rsid w:val="00C41D69"/>
    <w:rsid w:val="00C4257A"/>
    <w:rsid w:val="00C4260B"/>
    <w:rsid w:val="00C428B8"/>
    <w:rsid w:val="00C4341E"/>
    <w:rsid w:val="00C43888"/>
    <w:rsid w:val="00C4391A"/>
    <w:rsid w:val="00C43D5E"/>
    <w:rsid w:val="00C44584"/>
    <w:rsid w:val="00C44B68"/>
    <w:rsid w:val="00C45645"/>
    <w:rsid w:val="00C469A2"/>
    <w:rsid w:val="00C46B10"/>
    <w:rsid w:val="00C46D23"/>
    <w:rsid w:val="00C46E28"/>
    <w:rsid w:val="00C4711B"/>
    <w:rsid w:val="00C47922"/>
    <w:rsid w:val="00C47B36"/>
    <w:rsid w:val="00C507E5"/>
    <w:rsid w:val="00C50ABB"/>
    <w:rsid w:val="00C51E97"/>
    <w:rsid w:val="00C5331D"/>
    <w:rsid w:val="00C5358E"/>
    <w:rsid w:val="00C53F41"/>
    <w:rsid w:val="00C54056"/>
    <w:rsid w:val="00C54699"/>
    <w:rsid w:val="00C54B22"/>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331B"/>
    <w:rsid w:val="00C64196"/>
    <w:rsid w:val="00C6431C"/>
    <w:rsid w:val="00C65257"/>
    <w:rsid w:val="00C65820"/>
    <w:rsid w:val="00C659F5"/>
    <w:rsid w:val="00C66B5F"/>
    <w:rsid w:val="00C6791E"/>
    <w:rsid w:val="00C67998"/>
    <w:rsid w:val="00C67B18"/>
    <w:rsid w:val="00C67C3B"/>
    <w:rsid w:val="00C70079"/>
    <w:rsid w:val="00C70C08"/>
    <w:rsid w:val="00C71875"/>
    <w:rsid w:val="00C71CDE"/>
    <w:rsid w:val="00C71F22"/>
    <w:rsid w:val="00C72A43"/>
    <w:rsid w:val="00C72FE8"/>
    <w:rsid w:val="00C73187"/>
    <w:rsid w:val="00C73525"/>
    <w:rsid w:val="00C7363A"/>
    <w:rsid w:val="00C743B1"/>
    <w:rsid w:val="00C74B7A"/>
    <w:rsid w:val="00C74B9B"/>
    <w:rsid w:val="00C7505D"/>
    <w:rsid w:val="00C750A9"/>
    <w:rsid w:val="00C7605C"/>
    <w:rsid w:val="00C7626E"/>
    <w:rsid w:val="00C76298"/>
    <w:rsid w:val="00C76537"/>
    <w:rsid w:val="00C7660E"/>
    <w:rsid w:val="00C76F23"/>
    <w:rsid w:val="00C77146"/>
    <w:rsid w:val="00C779CD"/>
    <w:rsid w:val="00C77EC6"/>
    <w:rsid w:val="00C8007C"/>
    <w:rsid w:val="00C80609"/>
    <w:rsid w:val="00C808ED"/>
    <w:rsid w:val="00C80CE4"/>
    <w:rsid w:val="00C810D3"/>
    <w:rsid w:val="00C81841"/>
    <w:rsid w:val="00C81ECB"/>
    <w:rsid w:val="00C82D0B"/>
    <w:rsid w:val="00C83CD3"/>
    <w:rsid w:val="00C84349"/>
    <w:rsid w:val="00C8438C"/>
    <w:rsid w:val="00C845B0"/>
    <w:rsid w:val="00C85214"/>
    <w:rsid w:val="00C8594E"/>
    <w:rsid w:val="00C86074"/>
    <w:rsid w:val="00C863BB"/>
    <w:rsid w:val="00C864DE"/>
    <w:rsid w:val="00C869CC"/>
    <w:rsid w:val="00C86A82"/>
    <w:rsid w:val="00C86CF0"/>
    <w:rsid w:val="00C873C0"/>
    <w:rsid w:val="00C87A5F"/>
    <w:rsid w:val="00C9063C"/>
    <w:rsid w:val="00C906E8"/>
    <w:rsid w:val="00C9086C"/>
    <w:rsid w:val="00C90D14"/>
    <w:rsid w:val="00C9194F"/>
    <w:rsid w:val="00C9251D"/>
    <w:rsid w:val="00C92622"/>
    <w:rsid w:val="00C92A88"/>
    <w:rsid w:val="00C9304D"/>
    <w:rsid w:val="00C93576"/>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41"/>
    <w:rsid w:val="00CB0596"/>
    <w:rsid w:val="00CB17AC"/>
    <w:rsid w:val="00CB1CF3"/>
    <w:rsid w:val="00CB25C3"/>
    <w:rsid w:val="00CB4C84"/>
    <w:rsid w:val="00CB4D50"/>
    <w:rsid w:val="00CB4D6F"/>
    <w:rsid w:val="00CB5193"/>
    <w:rsid w:val="00CB577F"/>
    <w:rsid w:val="00CB5860"/>
    <w:rsid w:val="00CB5E27"/>
    <w:rsid w:val="00CB708B"/>
    <w:rsid w:val="00CB7107"/>
    <w:rsid w:val="00CB73FD"/>
    <w:rsid w:val="00CB7500"/>
    <w:rsid w:val="00CB7874"/>
    <w:rsid w:val="00CB7904"/>
    <w:rsid w:val="00CB7E20"/>
    <w:rsid w:val="00CB7F5B"/>
    <w:rsid w:val="00CC06A8"/>
    <w:rsid w:val="00CC08A8"/>
    <w:rsid w:val="00CC0A56"/>
    <w:rsid w:val="00CC1135"/>
    <w:rsid w:val="00CC1182"/>
    <w:rsid w:val="00CC1E54"/>
    <w:rsid w:val="00CC33C3"/>
    <w:rsid w:val="00CC45A1"/>
    <w:rsid w:val="00CC4D73"/>
    <w:rsid w:val="00CC5200"/>
    <w:rsid w:val="00CC6049"/>
    <w:rsid w:val="00CC691D"/>
    <w:rsid w:val="00CC7D03"/>
    <w:rsid w:val="00CD030E"/>
    <w:rsid w:val="00CD0834"/>
    <w:rsid w:val="00CD09C9"/>
    <w:rsid w:val="00CD1365"/>
    <w:rsid w:val="00CD1727"/>
    <w:rsid w:val="00CD174F"/>
    <w:rsid w:val="00CD1954"/>
    <w:rsid w:val="00CD1F26"/>
    <w:rsid w:val="00CD22E7"/>
    <w:rsid w:val="00CD278B"/>
    <w:rsid w:val="00CD2B61"/>
    <w:rsid w:val="00CD314A"/>
    <w:rsid w:val="00CD31D1"/>
    <w:rsid w:val="00CD33C0"/>
    <w:rsid w:val="00CD3915"/>
    <w:rsid w:val="00CD450F"/>
    <w:rsid w:val="00CD4CBF"/>
    <w:rsid w:val="00CD5553"/>
    <w:rsid w:val="00CD6EBB"/>
    <w:rsid w:val="00CD7CD3"/>
    <w:rsid w:val="00CE02B7"/>
    <w:rsid w:val="00CE05E8"/>
    <w:rsid w:val="00CE07ED"/>
    <w:rsid w:val="00CE16AC"/>
    <w:rsid w:val="00CE19D5"/>
    <w:rsid w:val="00CE1CBD"/>
    <w:rsid w:val="00CE1E14"/>
    <w:rsid w:val="00CE26CB"/>
    <w:rsid w:val="00CE2B29"/>
    <w:rsid w:val="00CE3165"/>
    <w:rsid w:val="00CE39A3"/>
    <w:rsid w:val="00CE4386"/>
    <w:rsid w:val="00CE4D66"/>
    <w:rsid w:val="00CE5B25"/>
    <w:rsid w:val="00CE6C35"/>
    <w:rsid w:val="00CE6EDF"/>
    <w:rsid w:val="00CE7BA6"/>
    <w:rsid w:val="00CF02D2"/>
    <w:rsid w:val="00CF08A7"/>
    <w:rsid w:val="00CF0BC7"/>
    <w:rsid w:val="00CF2F77"/>
    <w:rsid w:val="00CF31D6"/>
    <w:rsid w:val="00CF3BD1"/>
    <w:rsid w:val="00CF3F2A"/>
    <w:rsid w:val="00CF4077"/>
    <w:rsid w:val="00CF4649"/>
    <w:rsid w:val="00CF55E1"/>
    <w:rsid w:val="00CF576C"/>
    <w:rsid w:val="00CF5C99"/>
    <w:rsid w:val="00CF63DB"/>
    <w:rsid w:val="00CF6471"/>
    <w:rsid w:val="00CF71B9"/>
    <w:rsid w:val="00CF78A3"/>
    <w:rsid w:val="00CF7962"/>
    <w:rsid w:val="00CF7A57"/>
    <w:rsid w:val="00CF7D65"/>
    <w:rsid w:val="00CF7F5E"/>
    <w:rsid w:val="00D00D15"/>
    <w:rsid w:val="00D015F7"/>
    <w:rsid w:val="00D0186A"/>
    <w:rsid w:val="00D01965"/>
    <w:rsid w:val="00D01F10"/>
    <w:rsid w:val="00D0248F"/>
    <w:rsid w:val="00D0266D"/>
    <w:rsid w:val="00D02728"/>
    <w:rsid w:val="00D02869"/>
    <w:rsid w:val="00D02B50"/>
    <w:rsid w:val="00D02CAD"/>
    <w:rsid w:val="00D02FEC"/>
    <w:rsid w:val="00D03064"/>
    <w:rsid w:val="00D03EC7"/>
    <w:rsid w:val="00D049D0"/>
    <w:rsid w:val="00D04A7B"/>
    <w:rsid w:val="00D04D5B"/>
    <w:rsid w:val="00D05196"/>
    <w:rsid w:val="00D0574F"/>
    <w:rsid w:val="00D05806"/>
    <w:rsid w:val="00D05A74"/>
    <w:rsid w:val="00D06EC0"/>
    <w:rsid w:val="00D06EF0"/>
    <w:rsid w:val="00D06F54"/>
    <w:rsid w:val="00D07083"/>
    <w:rsid w:val="00D0795F"/>
    <w:rsid w:val="00D07CCE"/>
    <w:rsid w:val="00D10554"/>
    <w:rsid w:val="00D1174C"/>
    <w:rsid w:val="00D11D61"/>
    <w:rsid w:val="00D1239C"/>
    <w:rsid w:val="00D12C1F"/>
    <w:rsid w:val="00D12E9D"/>
    <w:rsid w:val="00D12F23"/>
    <w:rsid w:val="00D131C9"/>
    <w:rsid w:val="00D13E66"/>
    <w:rsid w:val="00D1411C"/>
    <w:rsid w:val="00D14558"/>
    <w:rsid w:val="00D158FE"/>
    <w:rsid w:val="00D15FDB"/>
    <w:rsid w:val="00D1632E"/>
    <w:rsid w:val="00D1654F"/>
    <w:rsid w:val="00D171E7"/>
    <w:rsid w:val="00D1789C"/>
    <w:rsid w:val="00D206CF"/>
    <w:rsid w:val="00D20E67"/>
    <w:rsid w:val="00D21200"/>
    <w:rsid w:val="00D21E5F"/>
    <w:rsid w:val="00D224DC"/>
    <w:rsid w:val="00D235E6"/>
    <w:rsid w:val="00D23F87"/>
    <w:rsid w:val="00D24B6C"/>
    <w:rsid w:val="00D251A1"/>
    <w:rsid w:val="00D25372"/>
    <w:rsid w:val="00D25B7F"/>
    <w:rsid w:val="00D25C3D"/>
    <w:rsid w:val="00D25F8C"/>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4A2C"/>
    <w:rsid w:val="00D3583E"/>
    <w:rsid w:val="00D35B76"/>
    <w:rsid w:val="00D35CBB"/>
    <w:rsid w:val="00D37391"/>
    <w:rsid w:val="00D376C7"/>
    <w:rsid w:val="00D37C1A"/>
    <w:rsid w:val="00D402D8"/>
    <w:rsid w:val="00D408D5"/>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2854"/>
    <w:rsid w:val="00D5364A"/>
    <w:rsid w:val="00D53A86"/>
    <w:rsid w:val="00D53D9C"/>
    <w:rsid w:val="00D544E2"/>
    <w:rsid w:val="00D546D6"/>
    <w:rsid w:val="00D55715"/>
    <w:rsid w:val="00D5591F"/>
    <w:rsid w:val="00D55F0D"/>
    <w:rsid w:val="00D56089"/>
    <w:rsid w:val="00D56BE0"/>
    <w:rsid w:val="00D56DF4"/>
    <w:rsid w:val="00D578E7"/>
    <w:rsid w:val="00D57CCF"/>
    <w:rsid w:val="00D601AF"/>
    <w:rsid w:val="00D60FA3"/>
    <w:rsid w:val="00D615A9"/>
    <w:rsid w:val="00D61773"/>
    <w:rsid w:val="00D617D0"/>
    <w:rsid w:val="00D61CCB"/>
    <w:rsid w:val="00D61D79"/>
    <w:rsid w:val="00D61D90"/>
    <w:rsid w:val="00D61ED6"/>
    <w:rsid w:val="00D62D44"/>
    <w:rsid w:val="00D62EA5"/>
    <w:rsid w:val="00D62EBD"/>
    <w:rsid w:val="00D64662"/>
    <w:rsid w:val="00D64DC1"/>
    <w:rsid w:val="00D65B93"/>
    <w:rsid w:val="00D661C8"/>
    <w:rsid w:val="00D6668C"/>
    <w:rsid w:val="00D6723F"/>
    <w:rsid w:val="00D6765B"/>
    <w:rsid w:val="00D677CC"/>
    <w:rsid w:val="00D678D5"/>
    <w:rsid w:val="00D67947"/>
    <w:rsid w:val="00D67FA4"/>
    <w:rsid w:val="00D70292"/>
    <w:rsid w:val="00D70888"/>
    <w:rsid w:val="00D71001"/>
    <w:rsid w:val="00D712B2"/>
    <w:rsid w:val="00D720AD"/>
    <w:rsid w:val="00D72685"/>
    <w:rsid w:val="00D729A1"/>
    <w:rsid w:val="00D72AB0"/>
    <w:rsid w:val="00D72BCE"/>
    <w:rsid w:val="00D72CD0"/>
    <w:rsid w:val="00D73532"/>
    <w:rsid w:val="00D73713"/>
    <w:rsid w:val="00D73E46"/>
    <w:rsid w:val="00D73F46"/>
    <w:rsid w:val="00D74063"/>
    <w:rsid w:val="00D74628"/>
    <w:rsid w:val="00D74EBF"/>
    <w:rsid w:val="00D75813"/>
    <w:rsid w:val="00D75B43"/>
    <w:rsid w:val="00D777F1"/>
    <w:rsid w:val="00D77AA2"/>
    <w:rsid w:val="00D80CB5"/>
    <w:rsid w:val="00D81B87"/>
    <w:rsid w:val="00D81E3D"/>
    <w:rsid w:val="00D82A6F"/>
    <w:rsid w:val="00D830E2"/>
    <w:rsid w:val="00D831CF"/>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427"/>
    <w:rsid w:val="00D933DE"/>
    <w:rsid w:val="00D94F41"/>
    <w:rsid w:val="00D94F5B"/>
    <w:rsid w:val="00D954BC"/>
    <w:rsid w:val="00D95EEA"/>
    <w:rsid w:val="00D96A89"/>
    <w:rsid w:val="00D96FDA"/>
    <w:rsid w:val="00D97021"/>
    <w:rsid w:val="00D971C6"/>
    <w:rsid w:val="00D975D7"/>
    <w:rsid w:val="00D977B2"/>
    <w:rsid w:val="00D97B19"/>
    <w:rsid w:val="00DA039B"/>
    <w:rsid w:val="00DA1D48"/>
    <w:rsid w:val="00DA2CC2"/>
    <w:rsid w:val="00DA38D2"/>
    <w:rsid w:val="00DA3904"/>
    <w:rsid w:val="00DA3CE4"/>
    <w:rsid w:val="00DA42D5"/>
    <w:rsid w:val="00DA4475"/>
    <w:rsid w:val="00DA44DE"/>
    <w:rsid w:val="00DA51E0"/>
    <w:rsid w:val="00DA60D6"/>
    <w:rsid w:val="00DA6553"/>
    <w:rsid w:val="00DA6BC6"/>
    <w:rsid w:val="00DA6C51"/>
    <w:rsid w:val="00DA755C"/>
    <w:rsid w:val="00DB0867"/>
    <w:rsid w:val="00DB0A8D"/>
    <w:rsid w:val="00DB0CC0"/>
    <w:rsid w:val="00DB0DC8"/>
    <w:rsid w:val="00DB0E9F"/>
    <w:rsid w:val="00DB1484"/>
    <w:rsid w:val="00DB1605"/>
    <w:rsid w:val="00DB2095"/>
    <w:rsid w:val="00DB2B25"/>
    <w:rsid w:val="00DB35B4"/>
    <w:rsid w:val="00DB37BD"/>
    <w:rsid w:val="00DB3B11"/>
    <w:rsid w:val="00DB3C66"/>
    <w:rsid w:val="00DB3DD9"/>
    <w:rsid w:val="00DB70AA"/>
    <w:rsid w:val="00DB7297"/>
    <w:rsid w:val="00DB7648"/>
    <w:rsid w:val="00DB7ABE"/>
    <w:rsid w:val="00DB7F73"/>
    <w:rsid w:val="00DC02B3"/>
    <w:rsid w:val="00DC03CC"/>
    <w:rsid w:val="00DC0AEF"/>
    <w:rsid w:val="00DC18B4"/>
    <w:rsid w:val="00DC1EA3"/>
    <w:rsid w:val="00DC227D"/>
    <w:rsid w:val="00DC276B"/>
    <w:rsid w:val="00DC27BC"/>
    <w:rsid w:val="00DC2816"/>
    <w:rsid w:val="00DC2B72"/>
    <w:rsid w:val="00DC302C"/>
    <w:rsid w:val="00DC3107"/>
    <w:rsid w:val="00DC33BF"/>
    <w:rsid w:val="00DC425C"/>
    <w:rsid w:val="00DC4402"/>
    <w:rsid w:val="00DC484D"/>
    <w:rsid w:val="00DC4940"/>
    <w:rsid w:val="00DC4B9A"/>
    <w:rsid w:val="00DC50EF"/>
    <w:rsid w:val="00DC52D1"/>
    <w:rsid w:val="00DC5386"/>
    <w:rsid w:val="00DC5D3B"/>
    <w:rsid w:val="00DC6442"/>
    <w:rsid w:val="00DC6C80"/>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BDF"/>
    <w:rsid w:val="00DE0CB9"/>
    <w:rsid w:val="00DE1C8F"/>
    <w:rsid w:val="00DE21D6"/>
    <w:rsid w:val="00DE2241"/>
    <w:rsid w:val="00DE27FE"/>
    <w:rsid w:val="00DE2A2E"/>
    <w:rsid w:val="00DE2D02"/>
    <w:rsid w:val="00DE2DD0"/>
    <w:rsid w:val="00DE32AE"/>
    <w:rsid w:val="00DE39D5"/>
    <w:rsid w:val="00DE3FCC"/>
    <w:rsid w:val="00DE495C"/>
    <w:rsid w:val="00DE54C0"/>
    <w:rsid w:val="00DE58DF"/>
    <w:rsid w:val="00DE6AF4"/>
    <w:rsid w:val="00DE6B2B"/>
    <w:rsid w:val="00DE72E9"/>
    <w:rsid w:val="00DE7576"/>
    <w:rsid w:val="00DF15FF"/>
    <w:rsid w:val="00DF1C50"/>
    <w:rsid w:val="00DF2382"/>
    <w:rsid w:val="00DF24B3"/>
    <w:rsid w:val="00DF275B"/>
    <w:rsid w:val="00DF401D"/>
    <w:rsid w:val="00DF46A0"/>
    <w:rsid w:val="00DF489C"/>
    <w:rsid w:val="00DF4A23"/>
    <w:rsid w:val="00DF4ACF"/>
    <w:rsid w:val="00DF5B8F"/>
    <w:rsid w:val="00DF6206"/>
    <w:rsid w:val="00DF63A8"/>
    <w:rsid w:val="00DF66AA"/>
    <w:rsid w:val="00DF6A19"/>
    <w:rsid w:val="00DF74A8"/>
    <w:rsid w:val="00DF7864"/>
    <w:rsid w:val="00E00755"/>
    <w:rsid w:val="00E007F3"/>
    <w:rsid w:val="00E011F0"/>
    <w:rsid w:val="00E01319"/>
    <w:rsid w:val="00E01AB5"/>
    <w:rsid w:val="00E020F6"/>
    <w:rsid w:val="00E026CD"/>
    <w:rsid w:val="00E0386C"/>
    <w:rsid w:val="00E03C94"/>
    <w:rsid w:val="00E03D4A"/>
    <w:rsid w:val="00E03D72"/>
    <w:rsid w:val="00E0515D"/>
    <w:rsid w:val="00E05200"/>
    <w:rsid w:val="00E05FE1"/>
    <w:rsid w:val="00E064DB"/>
    <w:rsid w:val="00E0690E"/>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5B6"/>
    <w:rsid w:val="00E156F7"/>
    <w:rsid w:val="00E157D2"/>
    <w:rsid w:val="00E15A13"/>
    <w:rsid w:val="00E16817"/>
    <w:rsid w:val="00E17B82"/>
    <w:rsid w:val="00E17DC1"/>
    <w:rsid w:val="00E2162B"/>
    <w:rsid w:val="00E219A3"/>
    <w:rsid w:val="00E2214A"/>
    <w:rsid w:val="00E22885"/>
    <w:rsid w:val="00E22A88"/>
    <w:rsid w:val="00E22BB9"/>
    <w:rsid w:val="00E2323B"/>
    <w:rsid w:val="00E235B2"/>
    <w:rsid w:val="00E238B0"/>
    <w:rsid w:val="00E23FB9"/>
    <w:rsid w:val="00E242EE"/>
    <w:rsid w:val="00E24431"/>
    <w:rsid w:val="00E24910"/>
    <w:rsid w:val="00E24A57"/>
    <w:rsid w:val="00E26100"/>
    <w:rsid w:val="00E26430"/>
    <w:rsid w:val="00E267B3"/>
    <w:rsid w:val="00E27345"/>
    <w:rsid w:val="00E27A0A"/>
    <w:rsid w:val="00E311B7"/>
    <w:rsid w:val="00E3127C"/>
    <w:rsid w:val="00E31D55"/>
    <w:rsid w:val="00E31F5E"/>
    <w:rsid w:val="00E3229B"/>
    <w:rsid w:val="00E32427"/>
    <w:rsid w:val="00E32C18"/>
    <w:rsid w:val="00E32CD6"/>
    <w:rsid w:val="00E32F13"/>
    <w:rsid w:val="00E33502"/>
    <w:rsid w:val="00E340AF"/>
    <w:rsid w:val="00E34265"/>
    <w:rsid w:val="00E34322"/>
    <w:rsid w:val="00E34469"/>
    <w:rsid w:val="00E346B8"/>
    <w:rsid w:val="00E34B9D"/>
    <w:rsid w:val="00E34DEE"/>
    <w:rsid w:val="00E3534E"/>
    <w:rsid w:val="00E35A1C"/>
    <w:rsid w:val="00E36D46"/>
    <w:rsid w:val="00E36D87"/>
    <w:rsid w:val="00E36DE3"/>
    <w:rsid w:val="00E373AF"/>
    <w:rsid w:val="00E37946"/>
    <w:rsid w:val="00E37D63"/>
    <w:rsid w:val="00E4040F"/>
    <w:rsid w:val="00E40B6B"/>
    <w:rsid w:val="00E40E16"/>
    <w:rsid w:val="00E40EB5"/>
    <w:rsid w:val="00E41791"/>
    <w:rsid w:val="00E41EA7"/>
    <w:rsid w:val="00E427F3"/>
    <w:rsid w:val="00E42991"/>
    <w:rsid w:val="00E42CFF"/>
    <w:rsid w:val="00E42D0F"/>
    <w:rsid w:val="00E42DAB"/>
    <w:rsid w:val="00E43804"/>
    <w:rsid w:val="00E4389F"/>
    <w:rsid w:val="00E43D26"/>
    <w:rsid w:val="00E43FA4"/>
    <w:rsid w:val="00E441BB"/>
    <w:rsid w:val="00E44B16"/>
    <w:rsid w:val="00E45B01"/>
    <w:rsid w:val="00E47AAE"/>
    <w:rsid w:val="00E47DFF"/>
    <w:rsid w:val="00E47E38"/>
    <w:rsid w:val="00E50E12"/>
    <w:rsid w:val="00E50E54"/>
    <w:rsid w:val="00E51B51"/>
    <w:rsid w:val="00E51BD7"/>
    <w:rsid w:val="00E51BF4"/>
    <w:rsid w:val="00E51C0A"/>
    <w:rsid w:val="00E51DCF"/>
    <w:rsid w:val="00E5250D"/>
    <w:rsid w:val="00E5268C"/>
    <w:rsid w:val="00E53C49"/>
    <w:rsid w:val="00E5441D"/>
    <w:rsid w:val="00E54849"/>
    <w:rsid w:val="00E54E7E"/>
    <w:rsid w:val="00E54F14"/>
    <w:rsid w:val="00E55151"/>
    <w:rsid w:val="00E55BBC"/>
    <w:rsid w:val="00E55E2E"/>
    <w:rsid w:val="00E57EEB"/>
    <w:rsid w:val="00E60201"/>
    <w:rsid w:val="00E609F8"/>
    <w:rsid w:val="00E60D75"/>
    <w:rsid w:val="00E60E5F"/>
    <w:rsid w:val="00E60F8D"/>
    <w:rsid w:val="00E61E69"/>
    <w:rsid w:val="00E62C09"/>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70663"/>
    <w:rsid w:val="00E706A9"/>
    <w:rsid w:val="00E70B3B"/>
    <w:rsid w:val="00E7120F"/>
    <w:rsid w:val="00E7139C"/>
    <w:rsid w:val="00E719B8"/>
    <w:rsid w:val="00E71D4D"/>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351B"/>
    <w:rsid w:val="00E83760"/>
    <w:rsid w:val="00E83B2A"/>
    <w:rsid w:val="00E83CDD"/>
    <w:rsid w:val="00E84C4D"/>
    <w:rsid w:val="00E84F0E"/>
    <w:rsid w:val="00E85030"/>
    <w:rsid w:val="00E85304"/>
    <w:rsid w:val="00E85C6C"/>
    <w:rsid w:val="00E85D5C"/>
    <w:rsid w:val="00E85F18"/>
    <w:rsid w:val="00E864BD"/>
    <w:rsid w:val="00E86751"/>
    <w:rsid w:val="00E8684A"/>
    <w:rsid w:val="00E86B2C"/>
    <w:rsid w:val="00E873EC"/>
    <w:rsid w:val="00E87535"/>
    <w:rsid w:val="00E875E1"/>
    <w:rsid w:val="00E90237"/>
    <w:rsid w:val="00E9026E"/>
    <w:rsid w:val="00E902E1"/>
    <w:rsid w:val="00E90333"/>
    <w:rsid w:val="00E9052C"/>
    <w:rsid w:val="00E90813"/>
    <w:rsid w:val="00E90DCB"/>
    <w:rsid w:val="00E912D1"/>
    <w:rsid w:val="00E9170F"/>
    <w:rsid w:val="00E91B9E"/>
    <w:rsid w:val="00E91C3F"/>
    <w:rsid w:val="00E91CF9"/>
    <w:rsid w:val="00E91E58"/>
    <w:rsid w:val="00E92078"/>
    <w:rsid w:val="00E92130"/>
    <w:rsid w:val="00E92255"/>
    <w:rsid w:val="00E9272A"/>
    <w:rsid w:val="00E92884"/>
    <w:rsid w:val="00E92C98"/>
    <w:rsid w:val="00E92EA9"/>
    <w:rsid w:val="00E93879"/>
    <w:rsid w:val="00E93FBC"/>
    <w:rsid w:val="00E94018"/>
    <w:rsid w:val="00E94625"/>
    <w:rsid w:val="00E94969"/>
    <w:rsid w:val="00E954F5"/>
    <w:rsid w:val="00E95731"/>
    <w:rsid w:val="00E95CFD"/>
    <w:rsid w:val="00E966AF"/>
    <w:rsid w:val="00E96FAA"/>
    <w:rsid w:val="00E973BA"/>
    <w:rsid w:val="00E974F4"/>
    <w:rsid w:val="00E97CCA"/>
    <w:rsid w:val="00E97DAB"/>
    <w:rsid w:val="00EA020E"/>
    <w:rsid w:val="00EA091C"/>
    <w:rsid w:val="00EA0B4C"/>
    <w:rsid w:val="00EA22D9"/>
    <w:rsid w:val="00EA25D7"/>
    <w:rsid w:val="00EA26E4"/>
    <w:rsid w:val="00EA31C8"/>
    <w:rsid w:val="00EA3E83"/>
    <w:rsid w:val="00EA3F09"/>
    <w:rsid w:val="00EA4398"/>
    <w:rsid w:val="00EA5280"/>
    <w:rsid w:val="00EA566F"/>
    <w:rsid w:val="00EA5716"/>
    <w:rsid w:val="00EA57AC"/>
    <w:rsid w:val="00EA5A77"/>
    <w:rsid w:val="00EA6A84"/>
    <w:rsid w:val="00EA6ED0"/>
    <w:rsid w:val="00EB1676"/>
    <w:rsid w:val="00EB1B32"/>
    <w:rsid w:val="00EB2E88"/>
    <w:rsid w:val="00EB31B4"/>
    <w:rsid w:val="00EB31E0"/>
    <w:rsid w:val="00EB3554"/>
    <w:rsid w:val="00EB3B9A"/>
    <w:rsid w:val="00EB3ED3"/>
    <w:rsid w:val="00EB41F2"/>
    <w:rsid w:val="00EB4474"/>
    <w:rsid w:val="00EB4510"/>
    <w:rsid w:val="00EB4520"/>
    <w:rsid w:val="00EB6009"/>
    <w:rsid w:val="00EB6110"/>
    <w:rsid w:val="00EB7AAF"/>
    <w:rsid w:val="00EC01D1"/>
    <w:rsid w:val="00EC02C6"/>
    <w:rsid w:val="00EC05B3"/>
    <w:rsid w:val="00EC0DFB"/>
    <w:rsid w:val="00EC1E2D"/>
    <w:rsid w:val="00EC1EAF"/>
    <w:rsid w:val="00EC2374"/>
    <w:rsid w:val="00EC2A59"/>
    <w:rsid w:val="00EC3518"/>
    <w:rsid w:val="00EC4052"/>
    <w:rsid w:val="00EC430F"/>
    <w:rsid w:val="00EC4A71"/>
    <w:rsid w:val="00EC4BB6"/>
    <w:rsid w:val="00EC4D1F"/>
    <w:rsid w:val="00EC4FE5"/>
    <w:rsid w:val="00EC541E"/>
    <w:rsid w:val="00EC722D"/>
    <w:rsid w:val="00EC7A03"/>
    <w:rsid w:val="00EC7E5D"/>
    <w:rsid w:val="00ED0176"/>
    <w:rsid w:val="00ED098A"/>
    <w:rsid w:val="00ED11DE"/>
    <w:rsid w:val="00ED1659"/>
    <w:rsid w:val="00ED17DF"/>
    <w:rsid w:val="00ED1928"/>
    <w:rsid w:val="00ED2505"/>
    <w:rsid w:val="00ED329B"/>
    <w:rsid w:val="00ED3AA3"/>
    <w:rsid w:val="00ED3B55"/>
    <w:rsid w:val="00ED3DA1"/>
    <w:rsid w:val="00ED3F06"/>
    <w:rsid w:val="00ED41CD"/>
    <w:rsid w:val="00ED4227"/>
    <w:rsid w:val="00ED5455"/>
    <w:rsid w:val="00ED561B"/>
    <w:rsid w:val="00ED581C"/>
    <w:rsid w:val="00ED5981"/>
    <w:rsid w:val="00ED5C96"/>
    <w:rsid w:val="00ED62E5"/>
    <w:rsid w:val="00ED6579"/>
    <w:rsid w:val="00ED666D"/>
    <w:rsid w:val="00ED7197"/>
    <w:rsid w:val="00ED71A3"/>
    <w:rsid w:val="00ED7AA9"/>
    <w:rsid w:val="00EE020B"/>
    <w:rsid w:val="00EE0896"/>
    <w:rsid w:val="00EE0E28"/>
    <w:rsid w:val="00EE198E"/>
    <w:rsid w:val="00EE21AD"/>
    <w:rsid w:val="00EE2A20"/>
    <w:rsid w:val="00EE3B58"/>
    <w:rsid w:val="00EE40CD"/>
    <w:rsid w:val="00EE4275"/>
    <w:rsid w:val="00EE4454"/>
    <w:rsid w:val="00EE53F0"/>
    <w:rsid w:val="00EE5D13"/>
    <w:rsid w:val="00EE5F18"/>
    <w:rsid w:val="00EE64DE"/>
    <w:rsid w:val="00EE7F6D"/>
    <w:rsid w:val="00EF017D"/>
    <w:rsid w:val="00EF08B4"/>
    <w:rsid w:val="00EF0D41"/>
    <w:rsid w:val="00EF0EF9"/>
    <w:rsid w:val="00EF1D2E"/>
    <w:rsid w:val="00EF1D40"/>
    <w:rsid w:val="00EF1D43"/>
    <w:rsid w:val="00EF22D9"/>
    <w:rsid w:val="00EF2C55"/>
    <w:rsid w:val="00EF4854"/>
    <w:rsid w:val="00EF4D8F"/>
    <w:rsid w:val="00EF4EB4"/>
    <w:rsid w:val="00EF53B9"/>
    <w:rsid w:val="00EF5507"/>
    <w:rsid w:val="00EF55F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325"/>
    <w:rsid w:val="00F03672"/>
    <w:rsid w:val="00F0376A"/>
    <w:rsid w:val="00F03ADA"/>
    <w:rsid w:val="00F0617F"/>
    <w:rsid w:val="00F06747"/>
    <w:rsid w:val="00F0762C"/>
    <w:rsid w:val="00F07EED"/>
    <w:rsid w:val="00F10EBF"/>
    <w:rsid w:val="00F11BD5"/>
    <w:rsid w:val="00F1233C"/>
    <w:rsid w:val="00F12ACC"/>
    <w:rsid w:val="00F1343D"/>
    <w:rsid w:val="00F1398B"/>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97E"/>
    <w:rsid w:val="00F24CC9"/>
    <w:rsid w:val="00F24CE3"/>
    <w:rsid w:val="00F25455"/>
    <w:rsid w:val="00F256E8"/>
    <w:rsid w:val="00F26057"/>
    <w:rsid w:val="00F26517"/>
    <w:rsid w:val="00F27090"/>
    <w:rsid w:val="00F275BF"/>
    <w:rsid w:val="00F30BF4"/>
    <w:rsid w:val="00F3296C"/>
    <w:rsid w:val="00F33220"/>
    <w:rsid w:val="00F33882"/>
    <w:rsid w:val="00F33E1F"/>
    <w:rsid w:val="00F34528"/>
    <w:rsid w:val="00F346BA"/>
    <w:rsid w:val="00F34859"/>
    <w:rsid w:val="00F34887"/>
    <w:rsid w:val="00F34C52"/>
    <w:rsid w:val="00F34FBD"/>
    <w:rsid w:val="00F355A4"/>
    <w:rsid w:val="00F35ECC"/>
    <w:rsid w:val="00F366B3"/>
    <w:rsid w:val="00F366BE"/>
    <w:rsid w:val="00F37EED"/>
    <w:rsid w:val="00F37F2C"/>
    <w:rsid w:val="00F4003D"/>
    <w:rsid w:val="00F402FF"/>
    <w:rsid w:val="00F40373"/>
    <w:rsid w:val="00F40A96"/>
    <w:rsid w:val="00F40D2F"/>
    <w:rsid w:val="00F410B2"/>
    <w:rsid w:val="00F411DF"/>
    <w:rsid w:val="00F41755"/>
    <w:rsid w:val="00F41B27"/>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6FE0"/>
    <w:rsid w:val="00F4706D"/>
    <w:rsid w:val="00F474B5"/>
    <w:rsid w:val="00F47ADD"/>
    <w:rsid w:val="00F47B55"/>
    <w:rsid w:val="00F504BF"/>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FA"/>
    <w:rsid w:val="00F5789C"/>
    <w:rsid w:val="00F57BB2"/>
    <w:rsid w:val="00F57CA4"/>
    <w:rsid w:val="00F6057E"/>
    <w:rsid w:val="00F60A1A"/>
    <w:rsid w:val="00F60B17"/>
    <w:rsid w:val="00F60DD9"/>
    <w:rsid w:val="00F61D2D"/>
    <w:rsid w:val="00F61DDE"/>
    <w:rsid w:val="00F6201E"/>
    <w:rsid w:val="00F624EE"/>
    <w:rsid w:val="00F63E7C"/>
    <w:rsid w:val="00F64811"/>
    <w:rsid w:val="00F649DB"/>
    <w:rsid w:val="00F64BA7"/>
    <w:rsid w:val="00F64C57"/>
    <w:rsid w:val="00F64E88"/>
    <w:rsid w:val="00F64F68"/>
    <w:rsid w:val="00F65E82"/>
    <w:rsid w:val="00F6600E"/>
    <w:rsid w:val="00F66935"/>
    <w:rsid w:val="00F6694E"/>
    <w:rsid w:val="00F66E8D"/>
    <w:rsid w:val="00F6713B"/>
    <w:rsid w:val="00F675B9"/>
    <w:rsid w:val="00F679E1"/>
    <w:rsid w:val="00F67D2E"/>
    <w:rsid w:val="00F704AE"/>
    <w:rsid w:val="00F70908"/>
    <w:rsid w:val="00F709A3"/>
    <w:rsid w:val="00F71D28"/>
    <w:rsid w:val="00F73027"/>
    <w:rsid w:val="00F73C6C"/>
    <w:rsid w:val="00F74347"/>
    <w:rsid w:val="00F74BAE"/>
    <w:rsid w:val="00F74D4A"/>
    <w:rsid w:val="00F750CF"/>
    <w:rsid w:val="00F75809"/>
    <w:rsid w:val="00F75D35"/>
    <w:rsid w:val="00F768E2"/>
    <w:rsid w:val="00F76FC9"/>
    <w:rsid w:val="00F7722F"/>
    <w:rsid w:val="00F772CB"/>
    <w:rsid w:val="00F77A9A"/>
    <w:rsid w:val="00F801AD"/>
    <w:rsid w:val="00F80CB0"/>
    <w:rsid w:val="00F80EF6"/>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3137"/>
    <w:rsid w:val="00F942EE"/>
    <w:rsid w:val="00F943A4"/>
    <w:rsid w:val="00F95A25"/>
    <w:rsid w:val="00F95BC2"/>
    <w:rsid w:val="00F95C18"/>
    <w:rsid w:val="00F96BC4"/>
    <w:rsid w:val="00F97CFA"/>
    <w:rsid w:val="00FA0226"/>
    <w:rsid w:val="00FA0610"/>
    <w:rsid w:val="00FA078A"/>
    <w:rsid w:val="00FA0902"/>
    <w:rsid w:val="00FA09C6"/>
    <w:rsid w:val="00FA19BA"/>
    <w:rsid w:val="00FA1A16"/>
    <w:rsid w:val="00FA1E63"/>
    <w:rsid w:val="00FA1EED"/>
    <w:rsid w:val="00FA2653"/>
    <w:rsid w:val="00FA2953"/>
    <w:rsid w:val="00FA2BB3"/>
    <w:rsid w:val="00FA3984"/>
    <w:rsid w:val="00FA5531"/>
    <w:rsid w:val="00FA59CA"/>
    <w:rsid w:val="00FA6261"/>
    <w:rsid w:val="00FA69BF"/>
    <w:rsid w:val="00FA6E77"/>
    <w:rsid w:val="00FB0949"/>
    <w:rsid w:val="00FB0F60"/>
    <w:rsid w:val="00FB0FB7"/>
    <w:rsid w:val="00FB349A"/>
    <w:rsid w:val="00FB361D"/>
    <w:rsid w:val="00FB39DC"/>
    <w:rsid w:val="00FB4071"/>
    <w:rsid w:val="00FB419C"/>
    <w:rsid w:val="00FB4210"/>
    <w:rsid w:val="00FB59EA"/>
    <w:rsid w:val="00FB5F5A"/>
    <w:rsid w:val="00FB6006"/>
    <w:rsid w:val="00FB701C"/>
    <w:rsid w:val="00FB749D"/>
    <w:rsid w:val="00FB77B4"/>
    <w:rsid w:val="00FB7E15"/>
    <w:rsid w:val="00FC0240"/>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FD3"/>
    <w:rsid w:val="00FD4013"/>
    <w:rsid w:val="00FD527F"/>
    <w:rsid w:val="00FD55FC"/>
    <w:rsid w:val="00FD5822"/>
    <w:rsid w:val="00FD5E51"/>
    <w:rsid w:val="00FD79AF"/>
    <w:rsid w:val="00FE00D4"/>
    <w:rsid w:val="00FE0E0F"/>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F08D4"/>
    <w:rsid w:val="00FF0919"/>
    <w:rsid w:val="00FF0EB9"/>
    <w:rsid w:val="00FF1E62"/>
    <w:rsid w:val="00FF209F"/>
    <w:rsid w:val="00FF267E"/>
    <w:rsid w:val="00FF34BC"/>
    <w:rsid w:val="00FF3640"/>
    <w:rsid w:val="00FF3B33"/>
    <w:rsid w:val="00FF3BCC"/>
    <w:rsid w:val="00FF3DB8"/>
    <w:rsid w:val="00FF483D"/>
    <w:rsid w:val="00FF621B"/>
    <w:rsid w:val="00FF6363"/>
    <w:rsid w:val="00FF6D2F"/>
    <w:rsid w:val="00FF71DB"/>
    <w:rsid w:val="01221EFC"/>
    <w:rsid w:val="015F7D48"/>
    <w:rsid w:val="02F33215"/>
    <w:rsid w:val="039A41B7"/>
    <w:rsid w:val="03E269EF"/>
    <w:rsid w:val="03F6226B"/>
    <w:rsid w:val="0418344A"/>
    <w:rsid w:val="05AE3CDD"/>
    <w:rsid w:val="05DC4AC1"/>
    <w:rsid w:val="068E6034"/>
    <w:rsid w:val="07EE1D5C"/>
    <w:rsid w:val="082342D6"/>
    <w:rsid w:val="08410172"/>
    <w:rsid w:val="08BF3322"/>
    <w:rsid w:val="09133FDE"/>
    <w:rsid w:val="0A092FFD"/>
    <w:rsid w:val="0A751C14"/>
    <w:rsid w:val="0A8B1CBE"/>
    <w:rsid w:val="0B334B46"/>
    <w:rsid w:val="0B405399"/>
    <w:rsid w:val="0B737CF6"/>
    <w:rsid w:val="0C065050"/>
    <w:rsid w:val="0CC71C6B"/>
    <w:rsid w:val="0CEC15BC"/>
    <w:rsid w:val="0D0F76AF"/>
    <w:rsid w:val="0D1E5885"/>
    <w:rsid w:val="0DBD1432"/>
    <w:rsid w:val="0ECC0D5E"/>
    <w:rsid w:val="0EE45922"/>
    <w:rsid w:val="0F9455A6"/>
    <w:rsid w:val="0FDB74DF"/>
    <w:rsid w:val="100778BE"/>
    <w:rsid w:val="10710D2D"/>
    <w:rsid w:val="11312955"/>
    <w:rsid w:val="11781FEF"/>
    <w:rsid w:val="11BE497F"/>
    <w:rsid w:val="121E6410"/>
    <w:rsid w:val="127E0E08"/>
    <w:rsid w:val="131427FF"/>
    <w:rsid w:val="1314436A"/>
    <w:rsid w:val="136577E3"/>
    <w:rsid w:val="13A728DB"/>
    <w:rsid w:val="13DB1F97"/>
    <w:rsid w:val="13DF28CF"/>
    <w:rsid w:val="13EB0AD0"/>
    <w:rsid w:val="143570E1"/>
    <w:rsid w:val="14617D18"/>
    <w:rsid w:val="146C2981"/>
    <w:rsid w:val="1525757B"/>
    <w:rsid w:val="153A19D7"/>
    <w:rsid w:val="15424B76"/>
    <w:rsid w:val="154D37BE"/>
    <w:rsid w:val="15784D82"/>
    <w:rsid w:val="15B410C5"/>
    <w:rsid w:val="16043FB6"/>
    <w:rsid w:val="160D50E7"/>
    <w:rsid w:val="174E311A"/>
    <w:rsid w:val="17B70682"/>
    <w:rsid w:val="17C30281"/>
    <w:rsid w:val="18246195"/>
    <w:rsid w:val="18CD1BAD"/>
    <w:rsid w:val="19722FE6"/>
    <w:rsid w:val="1996313C"/>
    <w:rsid w:val="19DC39AB"/>
    <w:rsid w:val="1A264109"/>
    <w:rsid w:val="1A34382B"/>
    <w:rsid w:val="1ACB2F83"/>
    <w:rsid w:val="1B3922DB"/>
    <w:rsid w:val="1BB75191"/>
    <w:rsid w:val="1BC60CFB"/>
    <w:rsid w:val="1BDC3684"/>
    <w:rsid w:val="1BEC1D49"/>
    <w:rsid w:val="1C017A90"/>
    <w:rsid w:val="1C640168"/>
    <w:rsid w:val="1C740947"/>
    <w:rsid w:val="1D462F5B"/>
    <w:rsid w:val="1D4E7EA2"/>
    <w:rsid w:val="1D94384D"/>
    <w:rsid w:val="1D9E5A02"/>
    <w:rsid w:val="1DAB173A"/>
    <w:rsid w:val="1DB06F9F"/>
    <w:rsid w:val="1DBF45BC"/>
    <w:rsid w:val="1E283A16"/>
    <w:rsid w:val="1E3F5868"/>
    <w:rsid w:val="1E5E58AC"/>
    <w:rsid w:val="1EA87DE5"/>
    <w:rsid w:val="1EAE4750"/>
    <w:rsid w:val="1EEC0883"/>
    <w:rsid w:val="1F075C9D"/>
    <w:rsid w:val="1F2D2DB3"/>
    <w:rsid w:val="1F3B3B91"/>
    <w:rsid w:val="1FBA4884"/>
    <w:rsid w:val="200A0999"/>
    <w:rsid w:val="200B6E3D"/>
    <w:rsid w:val="20280DCB"/>
    <w:rsid w:val="205263C8"/>
    <w:rsid w:val="2125427E"/>
    <w:rsid w:val="219A2B37"/>
    <w:rsid w:val="219E358A"/>
    <w:rsid w:val="21DC3DCB"/>
    <w:rsid w:val="22666530"/>
    <w:rsid w:val="22AD0631"/>
    <w:rsid w:val="22B15EB3"/>
    <w:rsid w:val="22DB7F98"/>
    <w:rsid w:val="22E11F57"/>
    <w:rsid w:val="22EB7EA8"/>
    <w:rsid w:val="23313DD7"/>
    <w:rsid w:val="237718F0"/>
    <w:rsid w:val="24062A90"/>
    <w:rsid w:val="2409135B"/>
    <w:rsid w:val="240B30AA"/>
    <w:rsid w:val="24417E5C"/>
    <w:rsid w:val="245B6B54"/>
    <w:rsid w:val="25101F87"/>
    <w:rsid w:val="2531424D"/>
    <w:rsid w:val="255F7026"/>
    <w:rsid w:val="260B7C19"/>
    <w:rsid w:val="26E510BD"/>
    <w:rsid w:val="275E0B88"/>
    <w:rsid w:val="27C53CEF"/>
    <w:rsid w:val="28023F00"/>
    <w:rsid w:val="284F3D99"/>
    <w:rsid w:val="28EF4149"/>
    <w:rsid w:val="29374D65"/>
    <w:rsid w:val="29C22604"/>
    <w:rsid w:val="2AE6551F"/>
    <w:rsid w:val="2B6F44FF"/>
    <w:rsid w:val="2C385DFA"/>
    <w:rsid w:val="2CE86CAD"/>
    <w:rsid w:val="2DAE2CF2"/>
    <w:rsid w:val="2DE72EAC"/>
    <w:rsid w:val="2E7450D6"/>
    <w:rsid w:val="2EAD0051"/>
    <w:rsid w:val="2EAD596C"/>
    <w:rsid w:val="2ECD5C35"/>
    <w:rsid w:val="2F306F5A"/>
    <w:rsid w:val="2F7614A0"/>
    <w:rsid w:val="2F9E6140"/>
    <w:rsid w:val="2FC42926"/>
    <w:rsid w:val="2FE22008"/>
    <w:rsid w:val="303E6EE1"/>
    <w:rsid w:val="304530B0"/>
    <w:rsid w:val="30C74905"/>
    <w:rsid w:val="32314220"/>
    <w:rsid w:val="32364762"/>
    <w:rsid w:val="327D522A"/>
    <w:rsid w:val="3333464E"/>
    <w:rsid w:val="334913D7"/>
    <w:rsid w:val="335340BF"/>
    <w:rsid w:val="338F65C5"/>
    <w:rsid w:val="33B23EC3"/>
    <w:rsid w:val="33C553F9"/>
    <w:rsid w:val="347D5DD3"/>
    <w:rsid w:val="34D85713"/>
    <w:rsid w:val="36A74C4F"/>
    <w:rsid w:val="36DC4A0C"/>
    <w:rsid w:val="36DF3664"/>
    <w:rsid w:val="372C6E3F"/>
    <w:rsid w:val="37AD2122"/>
    <w:rsid w:val="38091FED"/>
    <w:rsid w:val="38D629CB"/>
    <w:rsid w:val="396B289F"/>
    <w:rsid w:val="398F629D"/>
    <w:rsid w:val="39EE0F28"/>
    <w:rsid w:val="3A1C53C7"/>
    <w:rsid w:val="3A252A34"/>
    <w:rsid w:val="3A4223C0"/>
    <w:rsid w:val="3A943567"/>
    <w:rsid w:val="3AB604A9"/>
    <w:rsid w:val="3B3B5D2B"/>
    <w:rsid w:val="3C0D5B38"/>
    <w:rsid w:val="3C403796"/>
    <w:rsid w:val="3C9F5D24"/>
    <w:rsid w:val="3CAD22F8"/>
    <w:rsid w:val="3CB11C2A"/>
    <w:rsid w:val="3CDD3601"/>
    <w:rsid w:val="3CF01D73"/>
    <w:rsid w:val="3D48549B"/>
    <w:rsid w:val="3D60793E"/>
    <w:rsid w:val="3E6B4887"/>
    <w:rsid w:val="3E6F7E93"/>
    <w:rsid w:val="3E8E1745"/>
    <w:rsid w:val="3EF62943"/>
    <w:rsid w:val="3F2B62DA"/>
    <w:rsid w:val="3F2C444F"/>
    <w:rsid w:val="3F476988"/>
    <w:rsid w:val="3F487BC8"/>
    <w:rsid w:val="3FA21E4C"/>
    <w:rsid w:val="3FBB0363"/>
    <w:rsid w:val="3FED3D5A"/>
    <w:rsid w:val="40740547"/>
    <w:rsid w:val="409C3C57"/>
    <w:rsid w:val="40CA0C3D"/>
    <w:rsid w:val="412B35B1"/>
    <w:rsid w:val="41486A5F"/>
    <w:rsid w:val="416533B6"/>
    <w:rsid w:val="41817438"/>
    <w:rsid w:val="418240CB"/>
    <w:rsid w:val="41BB1657"/>
    <w:rsid w:val="41E91087"/>
    <w:rsid w:val="42401890"/>
    <w:rsid w:val="42C61910"/>
    <w:rsid w:val="42CC7E59"/>
    <w:rsid w:val="4304321C"/>
    <w:rsid w:val="431834E4"/>
    <w:rsid w:val="435E1AAD"/>
    <w:rsid w:val="436B1649"/>
    <w:rsid w:val="43F55F98"/>
    <w:rsid w:val="4435535D"/>
    <w:rsid w:val="44710550"/>
    <w:rsid w:val="449518A8"/>
    <w:rsid w:val="449B0876"/>
    <w:rsid w:val="449E43F9"/>
    <w:rsid w:val="44F91CE8"/>
    <w:rsid w:val="452709A8"/>
    <w:rsid w:val="45FA555D"/>
    <w:rsid w:val="464B27E8"/>
    <w:rsid w:val="464E1AB9"/>
    <w:rsid w:val="469F5F41"/>
    <w:rsid w:val="473C4436"/>
    <w:rsid w:val="479F6F47"/>
    <w:rsid w:val="47B14F60"/>
    <w:rsid w:val="4802744F"/>
    <w:rsid w:val="483769AB"/>
    <w:rsid w:val="48427A4D"/>
    <w:rsid w:val="48A82138"/>
    <w:rsid w:val="498E2F6A"/>
    <w:rsid w:val="49AF7F2D"/>
    <w:rsid w:val="4A665087"/>
    <w:rsid w:val="4A8B2473"/>
    <w:rsid w:val="4A9415CA"/>
    <w:rsid w:val="4ACA0154"/>
    <w:rsid w:val="4ACF2444"/>
    <w:rsid w:val="4AF5336D"/>
    <w:rsid w:val="4B565372"/>
    <w:rsid w:val="4BF31D77"/>
    <w:rsid w:val="4C5B2C23"/>
    <w:rsid w:val="4C66691D"/>
    <w:rsid w:val="4C851D9B"/>
    <w:rsid w:val="4CF32C56"/>
    <w:rsid w:val="4D1255F1"/>
    <w:rsid w:val="4D7613E9"/>
    <w:rsid w:val="4D7C5F35"/>
    <w:rsid w:val="4D8E5FD9"/>
    <w:rsid w:val="4DA77BFB"/>
    <w:rsid w:val="4E747DBC"/>
    <w:rsid w:val="4E9D7242"/>
    <w:rsid w:val="4EA50A31"/>
    <w:rsid w:val="4F49515F"/>
    <w:rsid w:val="50165836"/>
    <w:rsid w:val="5042046D"/>
    <w:rsid w:val="50772DDD"/>
    <w:rsid w:val="50947493"/>
    <w:rsid w:val="50AB1882"/>
    <w:rsid w:val="50BE484B"/>
    <w:rsid w:val="50D85636"/>
    <w:rsid w:val="5123003F"/>
    <w:rsid w:val="512D0BB4"/>
    <w:rsid w:val="515839BC"/>
    <w:rsid w:val="51E2230F"/>
    <w:rsid w:val="52281DA8"/>
    <w:rsid w:val="52507363"/>
    <w:rsid w:val="545445B9"/>
    <w:rsid w:val="549D02D4"/>
    <w:rsid w:val="552C043E"/>
    <w:rsid w:val="563B1F18"/>
    <w:rsid w:val="565030BF"/>
    <w:rsid w:val="56B8788D"/>
    <w:rsid w:val="56E664E9"/>
    <w:rsid w:val="573F538A"/>
    <w:rsid w:val="57682ED1"/>
    <w:rsid w:val="57DD16DE"/>
    <w:rsid w:val="57E63BE7"/>
    <w:rsid w:val="587250FE"/>
    <w:rsid w:val="589F5D04"/>
    <w:rsid w:val="58C1267F"/>
    <w:rsid w:val="59C8077D"/>
    <w:rsid w:val="59E55A2E"/>
    <w:rsid w:val="59F94E02"/>
    <w:rsid w:val="5A4C1B1A"/>
    <w:rsid w:val="5A5164BA"/>
    <w:rsid w:val="5AF34219"/>
    <w:rsid w:val="5B2225E5"/>
    <w:rsid w:val="5B410556"/>
    <w:rsid w:val="5B9D5337"/>
    <w:rsid w:val="5B9F5C53"/>
    <w:rsid w:val="5BB80B96"/>
    <w:rsid w:val="5BD66679"/>
    <w:rsid w:val="5C36302D"/>
    <w:rsid w:val="5CB10815"/>
    <w:rsid w:val="5D581EED"/>
    <w:rsid w:val="5E310891"/>
    <w:rsid w:val="5E820B6F"/>
    <w:rsid w:val="5EAB33B5"/>
    <w:rsid w:val="5F13604F"/>
    <w:rsid w:val="5F1E62DA"/>
    <w:rsid w:val="5F3F2FF4"/>
    <w:rsid w:val="5FBE0FD7"/>
    <w:rsid w:val="5FDF2A1A"/>
    <w:rsid w:val="5FF51781"/>
    <w:rsid w:val="601066F2"/>
    <w:rsid w:val="607F2E88"/>
    <w:rsid w:val="62192EC1"/>
    <w:rsid w:val="62C678E3"/>
    <w:rsid w:val="63161384"/>
    <w:rsid w:val="632F7DF4"/>
    <w:rsid w:val="63767253"/>
    <w:rsid w:val="63C20CA3"/>
    <w:rsid w:val="63D441CD"/>
    <w:rsid w:val="63E53893"/>
    <w:rsid w:val="63ED5631"/>
    <w:rsid w:val="643403BC"/>
    <w:rsid w:val="646A4898"/>
    <w:rsid w:val="65084B89"/>
    <w:rsid w:val="653131DC"/>
    <w:rsid w:val="657241E8"/>
    <w:rsid w:val="65D97F40"/>
    <w:rsid w:val="665140D9"/>
    <w:rsid w:val="666445F8"/>
    <w:rsid w:val="66BF45AA"/>
    <w:rsid w:val="66E97F58"/>
    <w:rsid w:val="67002FE5"/>
    <w:rsid w:val="676375B9"/>
    <w:rsid w:val="67A25341"/>
    <w:rsid w:val="67E64304"/>
    <w:rsid w:val="689D35F2"/>
    <w:rsid w:val="68A2774C"/>
    <w:rsid w:val="68AD002A"/>
    <w:rsid w:val="68D83331"/>
    <w:rsid w:val="699657C8"/>
    <w:rsid w:val="69AE72B0"/>
    <w:rsid w:val="69D65D98"/>
    <w:rsid w:val="69E86667"/>
    <w:rsid w:val="69F70E87"/>
    <w:rsid w:val="6A3572AC"/>
    <w:rsid w:val="6A4233F8"/>
    <w:rsid w:val="6AE229A1"/>
    <w:rsid w:val="6B0F4BAD"/>
    <w:rsid w:val="6B5C1A55"/>
    <w:rsid w:val="6B947A7F"/>
    <w:rsid w:val="6BDE2AC1"/>
    <w:rsid w:val="6C0D74BD"/>
    <w:rsid w:val="6C3D0565"/>
    <w:rsid w:val="6C40504C"/>
    <w:rsid w:val="6CA14C41"/>
    <w:rsid w:val="6CCD33BE"/>
    <w:rsid w:val="6D6537A0"/>
    <w:rsid w:val="6D8901D9"/>
    <w:rsid w:val="6E6034CC"/>
    <w:rsid w:val="6FA74961"/>
    <w:rsid w:val="705971D9"/>
    <w:rsid w:val="71200C20"/>
    <w:rsid w:val="713D563B"/>
    <w:rsid w:val="71C50963"/>
    <w:rsid w:val="71FB6CB3"/>
    <w:rsid w:val="723F75BF"/>
    <w:rsid w:val="728D665D"/>
    <w:rsid w:val="732E54EE"/>
    <w:rsid w:val="735F58CA"/>
    <w:rsid w:val="73956D7E"/>
    <w:rsid w:val="73C60716"/>
    <w:rsid w:val="73D63FB0"/>
    <w:rsid w:val="74F330CF"/>
    <w:rsid w:val="75FA789E"/>
    <w:rsid w:val="76464234"/>
    <w:rsid w:val="768E6440"/>
    <w:rsid w:val="772F77EB"/>
    <w:rsid w:val="778F4DC3"/>
    <w:rsid w:val="77AB0A88"/>
    <w:rsid w:val="77ED1535"/>
    <w:rsid w:val="782179D2"/>
    <w:rsid w:val="78895F1A"/>
    <w:rsid w:val="78AA24A4"/>
    <w:rsid w:val="78F75456"/>
    <w:rsid w:val="79804F5C"/>
    <w:rsid w:val="799D6B26"/>
    <w:rsid w:val="79E30B06"/>
    <w:rsid w:val="7A156D06"/>
    <w:rsid w:val="7A1B7760"/>
    <w:rsid w:val="7B100A3B"/>
    <w:rsid w:val="7B6110D5"/>
    <w:rsid w:val="7BB06060"/>
    <w:rsid w:val="7BF32C2A"/>
    <w:rsid w:val="7CDB1724"/>
    <w:rsid w:val="7D1B6F9E"/>
    <w:rsid w:val="7D482665"/>
    <w:rsid w:val="7DC11230"/>
    <w:rsid w:val="7DD05B8E"/>
    <w:rsid w:val="7E070E45"/>
    <w:rsid w:val="7E1676A6"/>
    <w:rsid w:val="7E8A6EE3"/>
    <w:rsid w:val="7EAE66CE"/>
    <w:rsid w:val="7EBB65CA"/>
    <w:rsid w:val="7F5F17C5"/>
    <w:rsid w:val="7FDF032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rPr>
  </w:style>
  <w:style w:type="paragraph" w:styleId="8">
    <w:name w:val="heading 7"/>
    <w:basedOn w:val="1"/>
    <w:next w:val="1"/>
    <w:link w:val="34"/>
    <w:qFormat/>
    <w:uiPriority w:val="0"/>
    <w:pPr>
      <w:keepNext/>
      <w:keepLines/>
      <w:numPr>
        <w:ilvl w:val="6"/>
        <w:numId w:val="1"/>
      </w:numPr>
      <w:spacing w:before="120"/>
      <w:outlineLvl w:val="6"/>
    </w:pPr>
    <w:rPr>
      <w:rFonts w:ascii="Arial" w:hAnsi="Arial"/>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4">
    <w:name w:val="Default Paragraph Font"/>
    <w:semiHidden/>
    <w:unhideWhenUsed/>
    <w:qFormat/>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Document Map"/>
    <w:basedOn w:val="1"/>
    <w:link w:val="43"/>
    <w:semiHidden/>
    <w:unhideWhenUsed/>
    <w:qFormat/>
    <w:uiPriority w:val="99"/>
    <w:rPr>
      <w:rFonts w:ascii="宋体"/>
      <w:sz w:val="18"/>
      <w:szCs w:val="18"/>
    </w:rPr>
  </w:style>
  <w:style w:type="paragraph" w:styleId="14">
    <w:name w:val="annotation text"/>
    <w:basedOn w:val="1"/>
    <w:link w:val="47"/>
    <w:semiHidden/>
    <w:unhideWhenUsed/>
    <w:qFormat/>
    <w:uiPriority w:val="99"/>
    <w:pPr>
      <w:jc w:val="left"/>
    </w:pPr>
  </w:style>
  <w:style w:type="paragraph" w:styleId="15">
    <w:name w:val="Body Text"/>
    <w:basedOn w:val="1"/>
    <w:link w:val="68"/>
    <w:unhideWhenUsed/>
    <w:qFormat/>
    <w:uiPriority w:val="0"/>
    <w:pPr>
      <w:spacing w:line="240" w:lineRule="auto"/>
      <w:textAlignment w:val="auto"/>
    </w:pPr>
    <w:rPr>
      <w:rFonts w:ascii="Arial" w:hAnsi="Arial"/>
      <w:sz w:val="20"/>
    </w:rPr>
  </w:style>
  <w:style w:type="paragraph" w:styleId="16">
    <w:name w:val="List 2"/>
    <w:basedOn w:val="1"/>
    <w:semiHidden/>
    <w:unhideWhenUsed/>
    <w:qFormat/>
    <w:uiPriority w:val="99"/>
    <w:pPr>
      <w:ind w:left="100" w:leftChars="200" w:hanging="200" w:hangingChars="200"/>
      <w:contextualSpacing/>
    </w:pPr>
  </w:style>
  <w:style w:type="paragraph" w:styleId="17">
    <w:name w:val="Balloon Text"/>
    <w:basedOn w:val="1"/>
    <w:link w:val="41"/>
    <w:semiHidden/>
    <w:unhideWhenUsed/>
    <w:qFormat/>
    <w:uiPriority w:val="99"/>
    <w:pPr>
      <w:spacing w:after="0" w:line="240" w:lineRule="auto"/>
    </w:pPr>
    <w:rPr>
      <w:rFonts w:ascii="Lucida Grande" w:hAnsi="Lucida Grande"/>
      <w:sz w:val="18"/>
      <w:szCs w:val="18"/>
    </w:rPr>
  </w:style>
  <w:style w:type="paragraph" w:styleId="18">
    <w:name w:val="footer"/>
    <w:basedOn w:val="19"/>
    <w:link w:val="3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19">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20">
    <w:name w:val="List"/>
    <w:basedOn w:val="1"/>
    <w:semiHidden/>
    <w:unhideWhenUsed/>
    <w:qFormat/>
    <w:uiPriority w:val="99"/>
    <w:pPr>
      <w:ind w:left="200" w:hanging="200" w:hangingChars="200"/>
      <w:contextualSpacing/>
    </w:pPr>
  </w:style>
  <w:style w:type="paragraph" w:styleId="21">
    <w:name w:val="annotation subject"/>
    <w:basedOn w:val="14"/>
    <w:next w:val="14"/>
    <w:link w:val="48"/>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semiHidden/>
    <w:unhideWhenUsed/>
    <w:qFormat/>
    <w:uiPriority w:val="99"/>
    <w:rPr>
      <w:sz w:val="21"/>
      <w:szCs w:val="21"/>
    </w:rPr>
  </w:style>
  <w:style w:type="character" w:customStyle="1" w:styleId="28">
    <w:name w:val="标题 1 字符"/>
    <w:link w:val="2"/>
    <w:qFormat/>
    <w:uiPriority w:val="0"/>
    <w:rPr>
      <w:rFonts w:ascii="Arial" w:hAnsi="Arial"/>
      <w:sz w:val="36"/>
      <w:szCs w:val="36"/>
      <w:lang w:val="en-GB"/>
    </w:rPr>
  </w:style>
  <w:style w:type="character" w:customStyle="1" w:styleId="29">
    <w:name w:val="标题 2 字符"/>
    <w:link w:val="3"/>
    <w:qFormat/>
    <w:uiPriority w:val="0"/>
    <w:rPr>
      <w:rFonts w:ascii="Arial" w:hAnsi="Arial"/>
      <w:sz w:val="32"/>
      <w:szCs w:val="32"/>
      <w:lang w:val="en-GB" w:eastAsia="zh-CN"/>
    </w:rPr>
  </w:style>
  <w:style w:type="character" w:customStyle="1" w:styleId="30">
    <w:name w:val="标题 3 字符"/>
    <w:link w:val="4"/>
    <w:qFormat/>
    <w:uiPriority w:val="0"/>
    <w:rPr>
      <w:rFonts w:ascii="Arial" w:hAnsi="Arial"/>
      <w:sz w:val="28"/>
      <w:szCs w:val="28"/>
      <w:lang w:val="en-GB" w:eastAsia="zh-CN"/>
    </w:rPr>
  </w:style>
  <w:style w:type="character" w:customStyle="1" w:styleId="31">
    <w:name w:val="标题 4 字符"/>
    <w:link w:val="5"/>
    <w:qFormat/>
    <w:uiPriority w:val="0"/>
    <w:rPr>
      <w:rFonts w:ascii="Arial" w:hAnsi="Arial"/>
      <w:lang w:val="en-GB" w:eastAsia="zh-CN"/>
    </w:rPr>
  </w:style>
  <w:style w:type="character" w:customStyle="1" w:styleId="32">
    <w:name w:val="标题 5 字符"/>
    <w:link w:val="6"/>
    <w:qFormat/>
    <w:uiPriority w:val="0"/>
    <w:rPr>
      <w:rFonts w:ascii="Arial" w:hAnsi="Arial"/>
      <w:sz w:val="22"/>
      <w:szCs w:val="22"/>
      <w:lang w:val="en-GB" w:eastAsia="zh-CN"/>
    </w:rPr>
  </w:style>
  <w:style w:type="character" w:customStyle="1" w:styleId="33">
    <w:name w:val="标题 6 字符"/>
    <w:link w:val="7"/>
    <w:qFormat/>
    <w:uiPriority w:val="0"/>
    <w:rPr>
      <w:rFonts w:ascii="Arial" w:hAnsi="Arial"/>
      <w:sz w:val="22"/>
      <w:lang w:val="en-GB" w:eastAsia="zh-CN"/>
    </w:rPr>
  </w:style>
  <w:style w:type="character" w:customStyle="1" w:styleId="34">
    <w:name w:val="标题 7 字符"/>
    <w:link w:val="8"/>
    <w:qFormat/>
    <w:uiPriority w:val="0"/>
    <w:rPr>
      <w:rFonts w:ascii="Arial" w:hAnsi="Arial"/>
      <w:sz w:val="22"/>
      <w:lang w:val="en-GB" w:eastAsia="zh-CN"/>
    </w:rPr>
  </w:style>
  <w:style w:type="character" w:customStyle="1" w:styleId="35">
    <w:name w:val="标题 8 字符"/>
    <w:link w:val="9"/>
    <w:qFormat/>
    <w:uiPriority w:val="0"/>
    <w:rPr>
      <w:rFonts w:ascii="Arial" w:hAnsi="Arial"/>
      <w:sz w:val="22"/>
      <w:lang w:val="en-GB" w:eastAsia="zh-CN"/>
    </w:rPr>
  </w:style>
  <w:style w:type="character" w:customStyle="1" w:styleId="36">
    <w:name w:val="标题 9 字符"/>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rPr>
  </w:style>
  <w:style w:type="character" w:customStyle="1" w:styleId="38">
    <w:name w:val="页脚 字符"/>
    <w:link w:val="18"/>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页眉 字符"/>
    <w:link w:val="19"/>
    <w:qFormat/>
    <w:uiPriority w:val="99"/>
    <w:rPr>
      <w:rFonts w:ascii="Times New Roman" w:hAnsi="Times New Roman" w:eastAsia="宋体" w:cs="Times New Roman"/>
      <w:kern w:val="0"/>
      <w:sz w:val="18"/>
      <w:szCs w:val="18"/>
      <w:lang w:val="en-GB"/>
    </w:rPr>
  </w:style>
  <w:style w:type="character" w:customStyle="1" w:styleId="41">
    <w:name w:val="批注框文本 字符"/>
    <w:link w:val="17"/>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文档结构图 字符"/>
    <w:link w:val="13"/>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批注文字 字符"/>
    <w:link w:val="14"/>
    <w:semiHidden/>
    <w:qFormat/>
    <w:uiPriority w:val="99"/>
    <w:rPr>
      <w:rFonts w:ascii="Times New Roman" w:hAnsi="Times New Roman"/>
      <w:sz w:val="22"/>
      <w:lang w:val="en-GB"/>
    </w:rPr>
  </w:style>
  <w:style w:type="character" w:customStyle="1" w:styleId="48">
    <w:name w:val="批注主题 字符"/>
    <w:link w:val="21"/>
    <w:semiHidden/>
    <w:qFormat/>
    <w:uiPriority w:val="99"/>
    <w:rPr>
      <w:rFonts w:ascii="Times New Roman" w:hAnsi="Times New Roman"/>
      <w:b/>
      <w:bCs/>
      <w:sz w:val="22"/>
      <w:lang w:val="en-GB"/>
    </w:rPr>
  </w:style>
  <w:style w:type="table" w:customStyle="1" w:styleId="49">
    <w:name w:val="列出段落1"/>
    <w:basedOn w:val="22"/>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0"/>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6"/>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正文文本 字符"/>
    <w:link w:val="15"/>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0"/>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4"/>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88"/>
    <w:qFormat/>
    <w:uiPriority w:val="0"/>
    <w:rPr>
      <w:rFonts w:eastAsia="Times New Roman"/>
      <w:b/>
    </w:rPr>
  </w:style>
  <w:style w:type="character" w:customStyle="1" w:styleId="86">
    <w:name w:val="列表段落 字符"/>
    <w:link w:val="71"/>
    <w:qFormat/>
    <w:uiPriority w:val="34"/>
    <w:rPr>
      <w:rFonts w:ascii="Times New Roman" w:hAnsi="Times New Roman" w:eastAsia="MS Gothic"/>
      <w:sz w:val="24"/>
      <w:szCs w:val="24"/>
      <w:lang w:val="en-GB" w:eastAsia="en-US"/>
    </w:rPr>
  </w:style>
  <w:style w:type="paragraph" w:customStyle="1" w:styleId="87">
    <w:name w:val="Editor's Note"/>
    <w:basedOn w:val="5"/>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character" w:customStyle="1" w:styleId="88">
    <w:name w:val="TAH Car"/>
    <w:link w:val="85"/>
    <w:qFormat/>
    <w:uiPriority w:val="0"/>
    <w:rPr>
      <w:rFonts w:ascii="Arial" w:hAnsi="Arial" w:eastAsia="Times New Roman"/>
      <w:b/>
      <w:sz w:val="18"/>
      <w:lang w:val="en-GB" w:eastAsia="en-US"/>
    </w:rPr>
  </w:style>
  <w:style w:type="character" w:customStyle="1" w:styleId="89">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4DCE88-E3AB-4ACB-AE38-FB2100D83ADA}">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3</Pages>
  <Words>1169</Words>
  <Characters>6665</Characters>
  <Lines>55</Lines>
  <Paragraphs>15</Paragraphs>
  <TotalTime>2</TotalTime>
  <ScaleCrop>false</ScaleCrop>
  <LinksUpToDate>false</LinksUpToDate>
  <CharactersWithSpaces>7819</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2021-05-11T06:07:00Z</dcterms:created>
  <dc:creator>YANG Ning</dc:creator>
  <cp:lastModifiedBy>vivo-yanxia</cp:lastModifiedBy>
  <cp:lastPrinted>2018-04-04T09:40:00Z</cp:lastPrinted>
  <dcterms:modified xsi:type="dcterms:W3CDTF">2021-05-11T06:32:18Z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FD0419A7B2744FF88129B6E8DCD98C61</vt:lpwstr>
  </property>
</Properties>
</file>